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321BAC" w14:textId="77777777" w:rsidR="00CC1DB6" w:rsidRPr="00CC1DB6" w:rsidRDefault="005B033C" w:rsidP="00CC1DB6">
      <w:pPr>
        <w:autoSpaceDE w:val="0"/>
        <w:autoSpaceDN w:val="0"/>
        <w:adjustRightInd w:val="0"/>
        <w:jc w:val="center"/>
        <w:rPr>
          <w:sz w:val="24"/>
          <w:szCs w:val="24"/>
        </w:rPr>
      </w:pPr>
      <w:r>
        <w:rPr>
          <w:sz w:val="24"/>
          <w:szCs w:val="24"/>
        </w:rPr>
        <w:t>10</w:t>
      </w:r>
      <w:r w:rsidR="007A1B81" w:rsidRPr="007A1B81">
        <w:rPr>
          <w:sz w:val="24"/>
          <w:szCs w:val="24"/>
          <w:vertAlign w:val="superscript"/>
        </w:rPr>
        <w:t>th</w:t>
      </w:r>
      <w:r w:rsidR="007A1B81">
        <w:rPr>
          <w:sz w:val="24"/>
          <w:szCs w:val="24"/>
        </w:rPr>
        <w:t xml:space="preserve"> U. S. National Combustion Meeting</w:t>
      </w:r>
    </w:p>
    <w:p w14:paraId="535C5720" w14:textId="77777777" w:rsidR="00195976" w:rsidRPr="00195976" w:rsidRDefault="00195976" w:rsidP="00626FD5">
      <w:pPr>
        <w:pStyle w:val="Title"/>
        <w:rPr>
          <w:b w:val="0"/>
          <w:szCs w:val="24"/>
        </w:rPr>
      </w:pPr>
      <w:r w:rsidRPr="00195976">
        <w:rPr>
          <w:b w:val="0"/>
          <w:szCs w:val="24"/>
        </w:rPr>
        <w:t xml:space="preserve">Organized by the </w:t>
      </w:r>
      <w:r w:rsidR="005B033C">
        <w:rPr>
          <w:b w:val="0"/>
          <w:szCs w:val="24"/>
        </w:rPr>
        <w:t>Eastern</w:t>
      </w:r>
      <w:r w:rsidRPr="00195976">
        <w:rPr>
          <w:b w:val="0"/>
          <w:szCs w:val="24"/>
        </w:rPr>
        <w:t xml:space="preserve"> States Section of the Combustion Institute</w:t>
      </w:r>
    </w:p>
    <w:p w14:paraId="1887359A" w14:textId="77777777" w:rsidR="00CC1DB6" w:rsidRDefault="005B033C" w:rsidP="00CC1DB6">
      <w:pPr>
        <w:pStyle w:val="Title"/>
        <w:rPr>
          <w:b w:val="0"/>
          <w:szCs w:val="24"/>
        </w:rPr>
      </w:pPr>
      <w:r>
        <w:rPr>
          <w:b w:val="0"/>
          <w:szCs w:val="24"/>
        </w:rPr>
        <w:t>April</w:t>
      </w:r>
      <w:r w:rsidR="00CC1DB6" w:rsidRPr="00B84469">
        <w:rPr>
          <w:b w:val="0"/>
          <w:szCs w:val="24"/>
        </w:rPr>
        <w:t xml:space="preserve"> </w:t>
      </w:r>
      <w:r>
        <w:rPr>
          <w:b w:val="0"/>
          <w:szCs w:val="24"/>
        </w:rPr>
        <w:t>23-26, 2017</w:t>
      </w:r>
    </w:p>
    <w:p w14:paraId="162019A8" w14:textId="77777777" w:rsidR="00626FD5" w:rsidRPr="00B84469" w:rsidRDefault="005B033C" w:rsidP="00CC1DB6">
      <w:pPr>
        <w:pStyle w:val="Title"/>
        <w:rPr>
          <w:b w:val="0"/>
        </w:rPr>
      </w:pPr>
      <w:r>
        <w:rPr>
          <w:b w:val="0"/>
          <w:szCs w:val="24"/>
        </w:rPr>
        <w:t>College Park, Maryland</w:t>
      </w:r>
    </w:p>
    <w:p w14:paraId="68850B29" w14:textId="77777777" w:rsidR="00CC1DB6" w:rsidRDefault="00CC1DB6">
      <w:pPr>
        <w:pStyle w:val="Title"/>
      </w:pPr>
    </w:p>
    <w:p w14:paraId="530A0886" w14:textId="530759B2" w:rsidR="0056194A" w:rsidRPr="007F3364" w:rsidRDefault="00D5597B">
      <w:pPr>
        <w:pStyle w:val="Title"/>
        <w:rPr>
          <w:b w:val="0"/>
          <w:sz w:val="36"/>
          <w:szCs w:val="36"/>
        </w:rPr>
      </w:pPr>
      <w:r>
        <w:rPr>
          <w:b w:val="0"/>
          <w:sz w:val="36"/>
          <w:szCs w:val="36"/>
        </w:rPr>
        <w:t>Development of an analytical</w:t>
      </w:r>
      <w:r w:rsidR="00E83B15">
        <w:rPr>
          <w:b w:val="0"/>
          <w:sz w:val="36"/>
          <w:szCs w:val="36"/>
        </w:rPr>
        <w:t xml:space="preserve"> AFFF</w:t>
      </w:r>
      <w:r>
        <w:rPr>
          <w:b w:val="0"/>
          <w:sz w:val="36"/>
          <w:szCs w:val="36"/>
        </w:rPr>
        <w:t xml:space="preserve"> formulation</w:t>
      </w:r>
      <w:r w:rsidR="00E83B15">
        <w:rPr>
          <w:b w:val="0"/>
          <w:sz w:val="36"/>
          <w:szCs w:val="36"/>
        </w:rPr>
        <w:t xml:space="preserve"> for </w:t>
      </w:r>
      <w:r w:rsidR="00F02110">
        <w:rPr>
          <w:b w:val="0"/>
          <w:sz w:val="36"/>
          <w:szCs w:val="36"/>
        </w:rPr>
        <w:t>the evaluation of alternative surfactants</w:t>
      </w:r>
    </w:p>
    <w:p w14:paraId="42F5D459" w14:textId="77777777" w:rsidR="00AC114A" w:rsidRDefault="00AC114A">
      <w:pPr>
        <w:jc w:val="center"/>
        <w:rPr>
          <w:b/>
          <w:sz w:val="24"/>
        </w:rPr>
      </w:pPr>
    </w:p>
    <w:p w14:paraId="6BE021BD" w14:textId="1E38FD16" w:rsidR="0004415E" w:rsidRPr="00D20C0A" w:rsidRDefault="00E83B15">
      <w:pPr>
        <w:jc w:val="center"/>
        <w:rPr>
          <w:i/>
          <w:sz w:val="28"/>
          <w:szCs w:val="28"/>
        </w:rPr>
      </w:pPr>
      <w:r w:rsidRPr="00395563">
        <w:rPr>
          <w:i/>
          <w:sz w:val="26"/>
          <w:szCs w:val="26"/>
        </w:rPr>
        <w:t>Katherine Hinnant</w:t>
      </w:r>
      <w:r w:rsidR="00767DA3">
        <w:rPr>
          <w:i/>
          <w:sz w:val="26"/>
          <w:szCs w:val="26"/>
          <w:vertAlign w:val="superscript"/>
        </w:rPr>
        <w:t>*</w:t>
      </w:r>
      <w:r w:rsidR="00D20C0A" w:rsidRPr="00395563">
        <w:rPr>
          <w:i/>
          <w:sz w:val="26"/>
          <w:szCs w:val="26"/>
        </w:rPr>
        <w:t xml:space="preserve">, </w:t>
      </w:r>
      <w:r w:rsidRPr="00395563">
        <w:rPr>
          <w:i/>
          <w:sz w:val="26"/>
          <w:szCs w:val="26"/>
        </w:rPr>
        <w:t>Arthur Snow,</w:t>
      </w:r>
      <w:r w:rsidR="004F1DA1" w:rsidRPr="00395563">
        <w:rPr>
          <w:i/>
          <w:sz w:val="26"/>
          <w:szCs w:val="26"/>
        </w:rPr>
        <w:t xml:space="preserve"> </w:t>
      </w:r>
      <w:r w:rsidR="009C000D" w:rsidRPr="00395563">
        <w:rPr>
          <w:i/>
          <w:sz w:val="26"/>
          <w:szCs w:val="26"/>
        </w:rPr>
        <w:t xml:space="preserve">John Farley, </w:t>
      </w:r>
      <w:r w:rsidR="004F1DA1" w:rsidRPr="00395563">
        <w:rPr>
          <w:i/>
          <w:sz w:val="26"/>
          <w:szCs w:val="26"/>
        </w:rPr>
        <w:t xml:space="preserve">Spencer Giles, </w:t>
      </w:r>
      <w:r w:rsidRPr="00395563">
        <w:rPr>
          <w:i/>
          <w:sz w:val="26"/>
          <w:szCs w:val="26"/>
        </w:rPr>
        <w:t>Ramagopal</w:t>
      </w:r>
      <w:r>
        <w:rPr>
          <w:i/>
          <w:sz w:val="28"/>
          <w:szCs w:val="28"/>
        </w:rPr>
        <w:t xml:space="preserve"> Ananth</w:t>
      </w:r>
    </w:p>
    <w:p w14:paraId="107B2D79" w14:textId="77777777" w:rsidR="000F41B9" w:rsidRPr="000F41B9" w:rsidRDefault="000F41B9" w:rsidP="000F41B9">
      <w:pPr>
        <w:rPr>
          <w:i/>
          <w:sz w:val="24"/>
        </w:rPr>
      </w:pPr>
    </w:p>
    <w:p w14:paraId="608C3E51" w14:textId="0B5209F7" w:rsidR="000F41B9" w:rsidRDefault="00E83B15" w:rsidP="000F41B9">
      <w:pPr>
        <w:jc w:val="center"/>
        <w:rPr>
          <w:i/>
          <w:sz w:val="24"/>
        </w:rPr>
      </w:pPr>
      <w:r>
        <w:rPr>
          <w:i/>
          <w:sz w:val="24"/>
        </w:rPr>
        <w:t>Chemistry Division</w:t>
      </w:r>
      <w:r w:rsidR="000F41B9">
        <w:rPr>
          <w:i/>
          <w:sz w:val="24"/>
        </w:rPr>
        <w:t xml:space="preserve">, </w:t>
      </w:r>
      <w:r>
        <w:rPr>
          <w:i/>
          <w:sz w:val="24"/>
        </w:rPr>
        <w:t>U.S. Naval Research Laboratory</w:t>
      </w:r>
      <w:r w:rsidR="000F41B9">
        <w:rPr>
          <w:i/>
          <w:sz w:val="24"/>
        </w:rPr>
        <w:t xml:space="preserve">, </w:t>
      </w:r>
      <w:r w:rsidR="006D316F">
        <w:rPr>
          <w:i/>
          <w:sz w:val="24"/>
        </w:rPr>
        <w:t>4555 Overlook Ave</w:t>
      </w:r>
      <w:r w:rsidR="00D20C0A">
        <w:rPr>
          <w:i/>
          <w:sz w:val="24"/>
        </w:rPr>
        <w:t>,</w:t>
      </w:r>
      <w:r>
        <w:rPr>
          <w:i/>
          <w:sz w:val="24"/>
        </w:rPr>
        <w:t xml:space="preserve"> Washington, D.C.</w:t>
      </w:r>
    </w:p>
    <w:p w14:paraId="7F3F8E93" w14:textId="2347C115" w:rsidR="00D20C0A" w:rsidRPr="00977659" w:rsidRDefault="00D20C0A" w:rsidP="000F41B9">
      <w:pPr>
        <w:jc w:val="center"/>
        <w:rPr>
          <w:i/>
          <w:sz w:val="24"/>
        </w:rPr>
      </w:pPr>
      <w:r w:rsidRPr="00977659">
        <w:rPr>
          <w:i/>
          <w:sz w:val="24"/>
          <w:vertAlign w:val="superscript"/>
        </w:rPr>
        <w:t>*</w:t>
      </w:r>
      <w:r w:rsidR="00767DA3">
        <w:rPr>
          <w:i/>
          <w:sz w:val="24"/>
        </w:rPr>
        <w:t>Corresponding Author Email:Katherine.hinnant@nrl.navy.mil</w:t>
      </w:r>
    </w:p>
    <w:p w14:paraId="444DA5D9" w14:textId="77777777" w:rsidR="00AC114A" w:rsidRPr="00176F97" w:rsidRDefault="00AC114A">
      <w:pPr>
        <w:pStyle w:val="BodyText"/>
      </w:pPr>
    </w:p>
    <w:p w14:paraId="71E046D4" w14:textId="5D423925" w:rsidR="00E83B15" w:rsidRPr="008102F4"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b/>
          <w:sz w:val="20"/>
          <w:szCs w:val="20"/>
        </w:rPr>
        <w:t>Abstract:</w:t>
      </w:r>
      <w:r w:rsidR="00E83B15">
        <w:rPr>
          <w:rFonts w:ascii="Times New Roman" w:hAnsi="Times New Roman"/>
          <w:b/>
          <w:sz w:val="20"/>
          <w:szCs w:val="20"/>
        </w:rPr>
        <w:t xml:space="preserve"> </w:t>
      </w:r>
      <w:r w:rsidR="00F31094">
        <w:rPr>
          <w:rFonts w:ascii="Times New Roman" w:hAnsi="Times New Roman"/>
          <w:sz w:val="20"/>
          <w:szCs w:val="20"/>
        </w:rPr>
        <w:t xml:space="preserve">Following criteria set by </w:t>
      </w:r>
      <w:r w:rsidR="00F31094" w:rsidRPr="00F31094">
        <w:rPr>
          <w:rFonts w:ascii="Times New Roman" w:hAnsi="Times New Roman"/>
          <w:sz w:val="20"/>
          <w:szCs w:val="20"/>
        </w:rPr>
        <w:t>MIL-F-24385F</w:t>
      </w:r>
      <w:r w:rsidR="00F31094">
        <w:rPr>
          <w:rFonts w:ascii="Times New Roman" w:hAnsi="Times New Roman"/>
          <w:sz w:val="20"/>
          <w:szCs w:val="20"/>
        </w:rPr>
        <w:t xml:space="preserve"> </w:t>
      </w:r>
      <w:r w:rsidR="00E83B15">
        <w:rPr>
          <w:rFonts w:ascii="Times New Roman" w:hAnsi="Times New Roman"/>
          <w:sz w:val="20"/>
          <w:szCs w:val="20"/>
        </w:rPr>
        <w:t xml:space="preserve">for firefighting foams, we </w:t>
      </w:r>
      <w:r w:rsidR="00E63DAC">
        <w:rPr>
          <w:rFonts w:ascii="Times New Roman" w:hAnsi="Times New Roman"/>
          <w:sz w:val="20"/>
          <w:szCs w:val="20"/>
        </w:rPr>
        <w:t xml:space="preserve">are </w:t>
      </w:r>
      <w:r w:rsidR="00E83B15">
        <w:rPr>
          <w:rFonts w:ascii="Times New Roman" w:hAnsi="Times New Roman"/>
          <w:sz w:val="20"/>
          <w:szCs w:val="20"/>
        </w:rPr>
        <w:t>develop</w:t>
      </w:r>
      <w:r w:rsidR="00E63DAC">
        <w:rPr>
          <w:rFonts w:ascii="Times New Roman" w:hAnsi="Times New Roman"/>
          <w:sz w:val="20"/>
          <w:szCs w:val="20"/>
        </w:rPr>
        <w:t>ing</w:t>
      </w:r>
      <w:r w:rsidR="00E322AA">
        <w:rPr>
          <w:rFonts w:ascii="Times New Roman" w:hAnsi="Times New Roman"/>
          <w:sz w:val="20"/>
          <w:szCs w:val="20"/>
        </w:rPr>
        <w:t xml:space="preserve"> an analytical</w:t>
      </w:r>
      <w:r w:rsidR="00E83B15">
        <w:rPr>
          <w:rFonts w:ascii="Times New Roman" w:hAnsi="Times New Roman"/>
          <w:sz w:val="20"/>
          <w:szCs w:val="20"/>
        </w:rPr>
        <w:t xml:space="preserve"> aqueous firefighting foam (AFFF)</w:t>
      </w:r>
      <w:r w:rsidR="00D5597B">
        <w:rPr>
          <w:rFonts w:ascii="Times New Roman" w:hAnsi="Times New Roman"/>
          <w:sz w:val="20"/>
          <w:szCs w:val="20"/>
        </w:rPr>
        <w:t xml:space="preserve"> formulation</w:t>
      </w:r>
      <w:r w:rsidR="00E83B15">
        <w:rPr>
          <w:rFonts w:ascii="Times New Roman" w:hAnsi="Times New Roman"/>
          <w:sz w:val="20"/>
          <w:szCs w:val="20"/>
        </w:rPr>
        <w:t xml:space="preserve"> to be used for laboratory testing in place of proprietary commercial AFFF</w:t>
      </w:r>
      <w:r w:rsidR="00D5597B">
        <w:rPr>
          <w:rFonts w:ascii="Times New Roman" w:hAnsi="Times New Roman"/>
          <w:sz w:val="20"/>
          <w:szCs w:val="20"/>
        </w:rPr>
        <w:t xml:space="preserve"> formulation</w:t>
      </w:r>
      <w:r w:rsidR="00E83B15">
        <w:rPr>
          <w:rFonts w:ascii="Times New Roman" w:hAnsi="Times New Roman"/>
          <w:sz w:val="20"/>
          <w:szCs w:val="20"/>
        </w:rPr>
        <w:t xml:space="preserve">. An </w:t>
      </w:r>
      <w:r w:rsidR="00CC1AB5">
        <w:rPr>
          <w:rFonts w:ascii="Times New Roman" w:hAnsi="Times New Roman"/>
          <w:sz w:val="20"/>
          <w:szCs w:val="20"/>
        </w:rPr>
        <w:t>aqueous</w:t>
      </w:r>
      <w:r w:rsidR="00E83B15">
        <w:rPr>
          <w:rFonts w:ascii="Times New Roman" w:hAnsi="Times New Roman"/>
          <w:sz w:val="20"/>
          <w:szCs w:val="20"/>
        </w:rPr>
        <w:t xml:space="preserve"> </w:t>
      </w:r>
      <w:r w:rsidR="00CC1AB5">
        <w:rPr>
          <w:rFonts w:ascii="Times New Roman" w:hAnsi="Times New Roman"/>
          <w:sz w:val="20"/>
          <w:szCs w:val="20"/>
        </w:rPr>
        <w:t xml:space="preserve">reference </w:t>
      </w:r>
      <w:r w:rsidR="00E83B15">
        <w:rPr>
          <w:rFonts w:ascii="Times New Roman" w:hAnsi="Times New Roman"/>
          <w:sz w:val="20"/>
          <w:szCs w:val="20"/>
        </w:rPr>
        <w:t>foam solution containing</w:t>
      </w:r>
      <w:r w:rsidR="00AD004C">
        <w:rPr>
          <w:rFonts w:ascii="Times New Roman" w:hAnsi="Times New Roman"/>
          <w:sz w:val="20"/>
          <w:szCs w:val="20"/>
        </w:rPr>
        <w:t xml:space="preserve"> 0.15% </w:t>
      </w:r>
      <w:r w:rsidR="00E83B15">
        <w:rPr>
          <w:rFonts w:ascii="Times New Roman" w:hAnsi="Times New Roman"/>
          <w:sz w:val="20"/>
          <w:szCs w:val="20"/>
        </w:rPr>
        <w:t xml:space="preserve">Capstone (fluorocarbon surfactant), </w:t>
      </w:r>
      <w:r w:rsidR="00AD004C">
        <w:rPr>
          <w:rFonts w:ascii="Times New Roman" w:hAnsi="Times New Roman"/>
          <w:sz w:val="20"/>
          <w:szCs w:val="20"/>
        </w:rPr>
        <w:t>0.05%</w:t>
      </w:r>
      <w:r w:rsidR="008102F4">
        <w:rPr>
          <w:rFonts w:ascii="Times New Roman" w:hAnsi="Times New Roman"/>
          <w:sz w:val="20"/>
          <w:szCs w:val="20"/>
        </w:rPr>
        <w:t xml:space="preserve"> </w:t>
      </w:r>
      <w:r w:rsidR="00E83B15">
        <w:rPr>
          <w:rFonts w:ascii="Times New Roman" w:hAnsi="Times New Roman"/>
          <w:sz w:val="20"/>
          <w:szCs w:val="20"/>
        </w:rPr>
        <w:t xml:space="preserve">Triton X-100 (hydrocarbon surfactant), and </w:t>
      </w:r>
      <w:r w:rsidR="00E63DAC">
        <w:rPr>
          <w:rFonts w:ascii="Times New Roman" w:hAnsi="Times New Roman"/>
          <w:sz w:val="20"/>
          <w:szCs w:val="20"/>
        </w:rPr>
        <w:t>0.95</w:t>
      </w:r>
      <w:r w:rsidR="008102F4">
        <w:rPr>
          <w:rFonts w:ascii="Times New Roman" w:hAnsi="Times New Roman"/>
          <w:sz w:val="20"/>
          <w:szCs w:val="20"/>
        </w:rPr>
        <w:t xml:space="preserve">% </w:t>
      </w:r>
      <w:r w:rsidR="00E83B15">
        <w:rPr>
          <w:rFonts w:ascii="Times New Roman" w:hAnsi="Times New Roman"/>
          <w:sz w:val="20"/>
          <w:szCs w:val="20"/>
        </w:rPr>
        <w:t>diethylene glycol butyl ether</w:t>
      </w:r>
      <w:r w:rsidR="00E63DAC">
        <w:rPr>
          <w:rFonts w:ascii="Times New Roman" w:hAnsi="Times New Roman"/>
          <w:sz w:val="20"/>
          <w:szCs w:val="20"/>
        </w:rPr>
        <w:t>,</w:t>
      </w:r>
      <w:r w:rsidR="00E83B15">
        <w:rPr>
          <w:rFonts w:ascii="Times New Roman" w:hAnsi="Times New Roman"/>
          <w:sz w:val="20"/>
          <w:szCs w:val="20"/>
        </w:rPr>
        <w:t xml:space="preserve"> </w:t>
      </w:r>
      <w:r w:rsidR="00E63DAC">
        <w:rPr>
          <w:rFonts w:ascii="Times New Roman" w:hAnsi="Times New Roman"/>
          <w:sz w:val="20"/>
          <w:szCs w:val="20"/>
        </w:rPr>
        <w:t>by weight</w:t>
      </w:r>
      <w:r w:rsidR="00E322AA">
        <w:rPr>
          <w:rFonts w:ascii="Times New Roman" w:hAnsi="Times New Roman"/>
          <w:sz w:val="20"/>
          <w:szCs w:val="20"/>
        </w:rPr>
        <w:t xml:space="preserve"> and</w:t>
      </w:r>
      <w:r w:rsidR="00E63DAC">
        <w:rPr>
          <w:rFonts w:ascii="Times New Roman" w:hAnsi="Times New Roman"/>
          <w:sz w:val="20"/>
          <w:szCs w:val="20"/>
        </w:rPr>
        <w:t xml:space="preserve"> </w:t>
      </w:r>
      <w:r w:rsidR="00E83B15">
        <w:rPr>
          <w:rFonts w:ascii="Times New Roman" w:hAnsi="Times New Roman"/>
          <w:sz w:val="20"/>
          <w:szCs w:val="20"/>
        </w:rPr>
        <w:t>w</w:t>
      </w:r>
      <w:r w:rsidR="008102F4">
        <w:rPr>
          <w:rFonts w:ascii="Times New Roman" w:hAnsi="Times New Roman"/>
          <w:sz w:val="20"/>
          <w:szCs w:val="20"/>
        </w:rPr>
        <w:t xml:space="preserve">as </w:t>
      </w:r>
      <w:r w:rsidR="00E63DAC">
        <w:rPr>
          <w:rFonts w:ascii="Times New Roman" w:hAnsi="Times New Roman"/>
          <w:sz w:val="20"/>
          <w:szCs w:val="20"/>
        </w:rPr>
        <w:t>found to</w:t>
      </w:r>
      <w:r w:rsidR="008102F4">
        <w:rPr>
          <w:rFonts w:ascii="Times New Roman" w:hAnsi="Times New Roman"/>
          <w:sz w:val="20"/>
          <w:szCs w:val="20"/>
        </w:rPr>
        <w:t xml:space="preserve"> me</w:t>
      </w:r>
      <w:r w:rsidR="00E63DAC">
        <w:rPr>
          <w:rFonts w:ascii="Times New Roman" w:hAnsi="Times New Roman"/>
          <w:sz w:val="20"/>
          <w:szCs w:val="20"/>
        </w:rPr>
        <w:t>e</w:t>
      </w:r>
      <w:r w:rsidR="008102F4">
        <w:rPr>
          <w:rFonts w:ascii="Times New Roman" w:hAnsi="Times New Roman"/>
          <w:sz w:val="20"/>
          <w:szCs w:val="20"/>
        </w:rPr>
        <w:t xml:space="preserve">t MilSpec criteria </w:t>
      </w:r>
      <w:r w:rsidR="007052EC">
        <w:rPr>
          <w:rFonts w:ascii="Times New Roman" w:hAnsi="Times New Roman"/>
          <w:sz w:val="20"/>
          <w:szCs w:val="20"/>
        </w:rPr>
        <w:t>for</w:t>
      </w:r>
      <w:r w:rsidR="008102F4">
        <w:rPr>
          <w:rFonts w:ascii="Times New Roman" w:hAnsi="Times New Roman"/>
          <w:sz w:val="20"/>
          <w:szCs w:val="20"/>
        </w:rPr>
        <w:t xml:space="preserve"> </w:t>
      </w:r>
      <w:r w:rsidR="008D1706">
        <w:rPr>
          <w:rFonts w:ascii="Times New Roman" w:hAnsi="Times New Roman"/>
          <w:sz w:val="20"/>
          <w:szCs w:val="20"/>
        </w:rPr>
        <w:t>aqueous film formation</w:t>
      </w:r>
      <w:r w:rsidR="00E63DAC">
        <w:rPr>
          <w:rFonts w:ascii="Times New Roman" w:hAnsi="Times New Roman"/>
          <w:sz w:val="20"/>
          <w:szCs w:val="20"/>
        </w:rPr>
        <w:t>,</w:t>
      </w:r>
      <w:r w:rsidR="008102F4">
        <w:rPr>
          <w:rFonts w:ascii="Times New Roman" w:hAnsi="Times New Roman"/>
          <w:sz w:val="20"/>
          <w:szCs w:val="20"/>
        </w:rPr>
        <w:t xml:space="preserve"> which </w:t>
      </w:r>
      <w:r w:rsidR="008D1706">
        <w:rPr>
          <w:rFonts w:ascii="Times New Roman" w:hAnsi="Times New Roman"/>
          <w:sz w:val="20"/>
          <w:szCs w:val="20"/>
        </w:rPr>
        <w:t>w</w:t>
      </w:r>
      <w:r w:rsidR="00F6401A">
        <w:rPr>
          <w:rFonts w:ascii="Times New Roman" w:hAnsi="Times New Roman"/>
          <w:sz w:val="20"/>
          <w:szCs w:val="20"/>
        </w:rPr>
        <w:t>as inferred to be essential</w:t>
      </w:r>
      <w:r w:rsidR="008D1706">
        <w:rPr>
          <w:rFonts w:ascii="Times New Roman" w:hAnsi="Times New Roman"/>
          <w:sz w:val="20"/>
          <w:szCs w:val="20"/>
        </w:rPr>
        <w:t xml:space="preserve"> for</w:t>
      </w:r>
      <w:r w:rsidR="00E322AA">
        <w:rPr>
          <w:rFonts w:ascii="Times New Roman" w:hAnsi="Times New Roman"/>
          <w:sz w:val="20"/>
          <w:szCs w:val="20"/>
        </w:rPr>
        <w:t xml:space="preserve"> improved</w:t>
      </w:r>
      <w:r w:rsidR="008102F4">
        <w:rPr>
          <w:rFonts w:ascii="Times New Roman" w:hAnsi="Times New Roman"/>
          <w:sz w:val="20"/>
          <w:szCs w:val="20"/>
        </w:rPr>
        <w:t xml:space="preserve"> fire extinction. </w:t>
      </w:r>
      <w:r w:rsidR="00CC1AB5">
        <w:rPr>
          <w:rFonts w:ascii="Times New Roman" w:hAnsi="Times New Roman"/>
          <w:sz w:val="20"/>
          <w:szCs w:val="20"/>
        </w:rPr>
        <w:t>However, the reference</w:t>
      </w:r>
      <w:r w:rsidR="008102F4">
        <w:rPr>
          <w:rFonts w:ascii="Times New Roman" w:hAnsi="Times New Roman"/>
          <w:sz w:val="20"/>
          <w:szCs w:val="20"/>
        </w:rPr>
        <w:t xml:space="preserve"> AFFF extinguished the 28 </w:t>
      </w:r>
      <w:r w:rsidR="008102F4" w:rsidRPr="008102F4">
        <w:rPr>
          <w:rFonts w:ascii="Times New Roman" w:hAnsi="Times New Roman"/>
          <w:sz w:val="20"/>
          <w:szCs w:val="20"/>
        </w:rPr>
        <w:t>ft</w:t>
      </w:r>
      <w:r w:rsidR="008102F4">
        <w:rPr>
          <w:rFonts w:ascii="Times New Roman" w:hAnsi="Times New Roman"/>
          <w:sz w:val="20"/>
          <w:szCs w:val="20"/>
          <w:vertAlign w:val="superscript"/>
        </w:rPr>
        <w:t>2</w:t>
      </w:r>
      <w:r w:rsidR="00F31094">
        <w:rPr>
          <w:rFonts w:ascii="Times New Roman" w:hAnsi="Times New Roman"/>
          <w:sz w:val="20"/>
          <w:szCs w:val="20"/>
        </w:rPr>
        <w:t xml:space="preserve"> gasoline pool</w:t>
      </w:r>
      <w:r w:rsidR="008102F4">
        <w:rPr>
          <w:rFonts w:ascii="Times New Roman" w:hAnsi="Times New Roman"/>
          <w:sz w:val="20"/>
          <w:szCs w:val="20"/>
        </w:rPr>
        <w:t xml:space="preserve"> fire in 54 seconds, </w:t>
      </w:r>
      <w:r w:rsidR="006D16B3">
        <w:rPr>
          <w:rFonts w:ascii="Times New Roman" w:hAnsi="Times New Roman"/>
          <w:sz w:val="20"/>
          <w:szCs w:val="20"/>
        </w:rPr>
        <w:t>exceeding</w:t>
      </w:r>
      <w:r w:rsidR="008102F4">
        <w:rPr>
          <w:rFonts w:ascii="Times New Roman" w:hAnsi="Times New Roman"/>
          <w:sz w:val="20"/>
          <w:szCs w:val="20"/>
        </w:rPr>
        <w:t xml:space="preserve"> the </w:t>
      </w:r>
      <w:r w:rsidR="006D16B3">
        <w:rPr>
          <w:rFonts w:ascii="Times New Roman" w:hAnsi="Times New Roman"/>
          <w:sz w:val="20"/>
          <w:szCs w:val="20"/>
        </w:rPr>
        <w:t xml:space="preserve">maximum </w:t>
      </w:r>
      <w:r w:rsidR="008102F4">
        <w:rPr>
          <w:rFonts w:ascii="Times New Roman" w:hAnsi="Times New Roman"/>
          <w:sz w:val="20"/>
          <w:szCs w:val="20"/>
        </w:rPr>
        <w:t>30 second qualification</w:t>
      </w:r>
      <w:r w:rsidR="006D16B3">
        <w:rPr>
          <w:rFonts w:ascii="Times New Roman" w:hAnsi="Times New Roman"/>
          <w:sz w:val="20"/>
          <w:szCs w:val="20"/>
        </w:rPr>
        <w:t xml:space="preserve"> standard</w:t>
      </w:r>
      <w:r w:rsidR="008102F4">
        <w:rPr>
          <w:rFonts w:ascii="Times New Roman" w:hAnsi="Times New Roman"/>
          <w:sz w:val="20"/>
          <w:szCs w:val="20"/>
        </w:rPr>
        <w:t xml:space="preserve">. Despite </w:t>
      </w:r>
      <w:r w:rsidR="00CC1AB5">
        <w:rPr>
          <w:rFonts w:ascii="Times New Roman" w:hAnsi="Times New Roman"/>
          <w:sz w:val="20"/>
          <w:szCs w:val="20"/>
        </w:rPr>
        <w:t xml:space="preserve">similar </w:t>
      </w:r>
      <w:r w:rsidR="00E322AA">
        <w:rPr>
          <w:rFonts w:ascii="Times New Roman" w:hAnsi="Times New Roman"/>
          <w:sz w:val="20"/>
          <w:szCs w:val="20"/>
        </w:rPr>
        <w:t>surface tensions and spreading coefficients</w:t>
      </w:r>
      <w:r w:rsidR="008D1706">
        <w:rPr>
          <w:rFonts w:ascii="Times New Roman" w:hAnsi="Times New Roman"/>
          <w:sz w:val="20"/>
          <w:szCs w:val="20"/>
        </w:rPr>
        <w:t xml:space="preserve"> </w:t>
      </w:r>
      <w:r w:rsidR="00CC1AB5">
        <w:rPr>
          <w:rFonts w:ascii="Times New Roman" w:hAnsi="Times New Roman"/>
          <w:sz w:val="20"/>
          <w:szCs w:val="20"/>
        </w:rPr>
        <w:t xml:space="preserve">between the reference and commercial AFFF indicating adequate film formation, the </w:t>
      </w:r>
      <w:r w:rsidR="008D1706">
        <w:rPr>
          <w:rFonts w:ascii="Times New Roman" w:hAnsi="Times New Roman"/>
          <w:sz w:val="20"/>
          <w:szCs w:val="20"/>
        </w:rPr>
        <w:t xml:space="preserve">fire </w:t>
      </w:r>
      <w:r w:rsidR="00CC1AB5">
        <w:rPr>
          <w:rFonts w:ascii="Times New Roman" w:hAnsi="Times New Roman"/>
          <w:sz w:val="20"/>
          <w:szCs w:val="20"/>
        </w:rPr>
        <w:t xml:space="preserve">extinction </w:t>
      </w:r>
      <w:r w:rsidR="008D1706">
        <w:rPr>
          <w:rFonts w:ascii="Times New Roman" w:hAnsi="Times New Roman"/>
          <w:sz w:val="20"/>
          <w:szCs w:val="20"/>
        </w:rPr>
        <w:t xml:space="preserve">time </w:t>
      </w:r>
      <w:r w:rsidR="00CC1AB5">
        <w:rPr>
          <w:rFonts w:ascii="Times New Roman" w:hAnsi="Times New Roman"/>
          <w:sz w:val="20"/>
          <w:szCs w:val="20"/>
        </w:rPr>
        <w:t>criteri</w:t>
      </w:r>
      <w:r w:rsidR="008D1706">
        <w:rPr>
          <w:rFonts w:ascii="Times New Roman" w:hAnsi="Times New Roman"/>
          <w:sz w:val="20"/>
          <w:szCs w:val="20"/>
        </w:rPr>
        <w:t>on</w:t>
      </w:r>
      <w:r w:rsidR="00CC1AB5">
        <w:rPr>
          <w:rFonts w:ascii="Times New Roman" w:hAnsi="Times New Roman"/>
          <w:sz w:val="20"/>
          <w:szCs w:val="20"/>
        </w:rPr>
        <w:t xml:space="preserve"> could not be met. </w:t>
      </w:r>
      <w:r w:rsidR="008D1706">
        <w:rPr>
          <w:rFonts w:ascii="Times New Roman" w:hAnsi="Times New Roman"/>
          <w:sz w:val="20"/>
          <w:szCs w:val="20"/>
        </w:rPr>
        <w:t xml:space="preserve">However, we found that </w:t>
      </w:r>
      <w:r w:rsidR="00CC1AB5">
        <w:rPr>
          <w:rFonts w:ascii="Times New Roman" w:hAnsi="Times New Roman"/>
          <w:sz w:val="20"/>
          <w:szCs w:val="20"/>
        </w:rPr>
        <w:t xml:space="preserve">the </w:t>
      </w:r>
      <w:r w:rsidR="00F31094">
        <w:rPr>
          <w:rFonts w:ascii="Times New Roman" w:hAnsi="Times New Roman"/>
          <w:sz w:val="20"/>
          <w:szCs w:val="20"/>
        </w:rPr>
        <w:t xml:space="preserve">reference AFFF </w:t>
      </w:r>
      <w:r w:rsidR="008D1706">
        <w:rPr>
          <w:rFonts w:ascii="Times New Roman" w:hAnsi="Times New Roman"/>
          <w:sz w:val="20"/>
          <w:szCs w:val="20"/>
        </w:rPr>
        <w:t xml:space="preserve">and a commercial AFFF </w:t>
      </w:r>
      <w:r w:rsidR="00107DF4">
        <w:rPr>
          <w:rFonts w:ascii="Times New Roman" w:hAnsi="Times New Roman"/>
          <w:sz w:val="20"/>
          <w:szCs w:val="20"/>
        </w:rPr>
        <w:t>degraded in 30</w:t>
      </w:r>
      <w:r w:rsidR="00AD004C">
        <w:rPr>
          <w:rFonts w:ascii="Times New Roman" w:hAnsi="Times New Roman"/>
          <w:sz w:val="20"/>
          <w:szCs w:val="20"/>
        </w:rPr>
        <w:t xml:space="preserve"> </w:t>
      </w:r>
      <w:r w:rsidR="008D1706">
        <w:rPr>
          <w:rFonts w:ascii="Times New Roman" w:hAnsi="Times New Roman"/>
          <w:sz w:val="20"/>
          <w:szCs w:val="20"/>
        </w:rPr>
        <w:t xml:space="preserve">and 45 </w:t>
      </w:r>
      <w:r w:rsidR="00AD004C">
        <w:rPr>
          <w:rFonts w:ascii="Times New Roman" w:hAnsi="Times New Roman"/>
          <w:sz w:val="20"/>
          <w:szCs w:val="20"/>
        </w:rPr>
        <w:t xml:space="preserve">minutes </w:t>
      </w:r>
      <w:r w:rsidR="008D1706">
        <w:rPr>
          <w:rFonts w:ascii="Times New Roman" w:hAnsi="Times New Roman"/>
          <w:sz w:val="20"/>
          <w:szCs w:val="20"/>
        </w:rPr>
        <w:t>respectively when the foams were placed</w:t>
      </w:r>
      <w:r w:rsidR="00CC1AB5">
        <w:rPr>
          <w:rFonts w:ascii="Times New Roman" w:hAnsi="Times New Roman"/>
          <w:sz w:val="20"/>
          <w:szCs w:val="20"/>
        </w:rPr>
        <w:t xml:space="preserve"> </w:t>
      </w:r>
      <w:r w:rsidR="008D1706">
        <w:rPr>
          <w:rFonts w:ascii="Times New Roman" w:hAnsi="Times New Roman"/>
          <w:sz w:val="20"/>
          <w:szCs w:val="20"/>
        </w:rPr>
        <w:t>over</w:t>
      </w:r>
      <w:r w:rsidR="00E322AA">
        <w:rPr>
          <w:rFonts w:ascii="Times New Roman" w:hAnsi="Times New Roman"/>
          <w:sz w:val="20"/>
          <w:szCs w:val="20"/>
        </w:rPr>
        <w:t xml:space="preserve"> 50</w:t>
      </w:r>
      <w:r w:rsidR="00E322AA">
        <w:rPr>
          <w:rFonts w:ascii="Arial" w:hAnsi="Arial" w:cs="Arial"/>
          <w:sz w:val="20"/>
          <w:szCs w:val="20"/>
        </w:rPr>
        <w:t>°</w:t>
      </w:r>
      <w:r w:rsidR="00E322AA">
        <w:rPr>
          <w:rFonts w:ascii="Times New Roman" w:hAnsi="Times New Roman"/>
          <w:sz w:val="20"/>
          <w:szCs w:val="20"/>
        </w:rPr>
        <w:t>C</w:t>
      </w:r>
      <w:r w:rsidR="008D1706">
        <w:rPr>
          <w:rFonts w:ascii="Times New Roman" w:hAnsi="Times New Roman"/>
          <w:sz w:val="20"/>
          <w:szCs w:val="20"/>
        </w:rPr>
        <w:t xml:space="preserve"> </w:t>
      </w:r>
      <w:r w:rsidR="00E322AA">
        <w:rPr>
          <w:rFonts w:ascii="Times New Roman" w:hAnsi="Times New Roman"/>
          <w:sz w:val="20"/>
          <w:szCs w:val="20"/>
        </w:rPr>
        <w:t>n-heptane fuel at</w:t>
      </w:r>
      <w:r w:rsidR="002C0501">
        <w:rPr>
          <w:rFonts w:ascii="Times New Roman" w:hAnsi="Times New Roman"/>
          <w:sz w:val="20"/>
          <w:szCs w:val="20"/>
        </w:rPr>
        <w:t xml:space="preserve"> bench-scale </w:t>
      </w:r>
      <w:r w:rsidR="008D1706">
        <w:rPr>
          <w:rFonts w:ascii="Times New Roman" w:hAnsi="Times New Roman"/>
          <w:sz w:val="20"/>
          <w:szCs w:val="20"/>
        </w:rPr>
        <w:t>consistent with burn-back Milspec test results</w:t>
      </w:r>
      <w:r w:rsidR="00D5597B">
        <w:rPr>
          <w:rFonts w:ascii="Times New Roman" w:hAnsi="Times New Roman"/>
          <w:sz w:val="20"/>
          <w:szCs w:val="20"/>
        </w:rPr>
        <w:t>. Differences in</w:t>
      </w:r>
      <w:r w:rsidR="00CC1AB5">
        <w:rPr>
          <w:rFonts w:ascii="Times New Roman" w:hAnsi="Times New Roman"/>
          <w:sz w:val="20"/>
          <w:szCs w:val="20"/>
        </w:rPr>
        <w:t xml:space="preserve"> foam degradation may prove to be more valuable to fire extinction than the role of film formation. </w:t>
      </w:r>
    </w:p>
    <w:p w14:paraId="440A1A6B" w14:textId="77777777" w:rsidR="00E83B15" w:rsidRDefault="00E95C6D" w:rsidP="007B3E2A">
      <w:pPr>
        <w:pStyle w:val="NoSpacing"/>
        <w:ind w:left="720" w:right="720" w:firstLine="0"/>
        <w:jc w:val="both"/>
        <w:rPr>
          <w:rFonts w:ascii="Times New Roman" w:hAnsi="Times New Roman"/>
          <w:sz w:val="20"/>
          <w:szCs w:val="20"/>
        </w:rPr>
      </w:pPr>
      <w:r w:rsidRPr="00176F97">
        <w:rPr>
          <w:rFonts w:ascii="Times New Roman" w:hAnsi="Times New Roman"/>
          <w:sz w:val="20"/>
          <w:szCs w:val="20"/>
        </w:rPr>
        <w:t xml:space="preserve"> </w:t>
      </w:r>
    </w:p>
    <w:p w14:paraId="52A447D2" w14:textId="77777777" w:rsidR="00E95C6D" w:rsidRPr="00176F97" w:rsidRDefault="00E95C6D" w:rsidP="00711D33">
      <w:pPr>
        <w:pStyle w:val="NoSpacing"/>
        <w:ind w:left="720" w:right="720" w:firstLine="0"/>
        <w:jc w:val="both"/>
        <w:rPr>
          <w:rFonts w:ascii="Times New Roman" w:hAnsi="Times New Roman"/>
          <w:i/>
          <w:sz w:val="20"/>
          <w:szCs w:val="20"/>
        </w:rPr>
      </w:pPr>
      <w:r w:rsidRPr="00176F97">
        <w:rPr>
          <w:rFonts w:ascii="Times New Roman" w:hAnsi="Times New Roman"/>
          <w:b/>
          <w:i/>
          <w:sz w:val="20"/>
          <w:szCs w:val="20"/>
        </w:rPr>
        <w:t xml:space="preserve">Keywords: </w:t>
      </w:r>
      <w:r w:rsidR="00C4215B">
        <w:rPr>
          <w:rFonts w:ascii="Times New Roman" w:hAnsi="Times New Roman"/>
          <w:b/>
          <w:i/>
          <w:sz w:val="20"/>
          <w:szCs w:val="20"/>
        </w:rPr>
        <w:t>Fire extinction</w:t>
      </w:r>
      <w:r w:rsidR="00711D33">
        <w:rPr>
          <w:rFonts w:ascii="Times New Roman" w:hAnsi="Times New Roman"/>
          <w:b/>
          <w:i/>
          <w:sz w:val="20"/>
          <w:szCs w:val="20"/>
        </w:rPr>
        <w:t xml:space="preserve">, firefighting foams, environmental, foam degradation </w:t>
      </w:r>
    </w:p>
    <w:p w14:paraId="03643209" w14:textId="77777777" w:rsidR="00CD0D16" w:rsidRPr="00543580" w:rsidRDefault="00CD0D16" w:rsidP="003A5658">
      <w:pPr>
        <w:pStyle w:val="NoSpacing"/>
        <w:ind w:left="0" w:firstLine="0"/>
        <w:jc w:val="both"/>
        <w:rPr>
          <w:rFonts w:ascii="Times New Roman" w:hAnsi="Times New Roman"/>
        </w:rPr>
      </w:pPr>
    </w:p>
    <w:p w14:paraId="35E04894" w14:textId="77777777" w:rsidR="00AC114A" w:rsidRPr="007E5ABD" w:rsidRDefault="003A5658" w:rsidP="00BB1D4C">
      <w:pPr>
        <w:pStyle w:val="NoSpacing"/>
        <w:numPr>
          <w:ilvl w:val="0"/>
          <w:numId w:val="6"/>
        </w:numPr>
        <w:tabs>
          <w:tab w:val="left" w:pos="360"/>
        </w:tabs>
        <w:spacing w:before="120" w:after="120"/>
        <w:ind w:hanging="720"/>
        <w:jc w:val="both"/>
        <w:rPr>
          <w:rFonts w:ascii="Times New Roman" w:hAnsi="Times New Roman"/>
          <w:b/>
          <w:sz w:val="24"/>
          <w:szCs w:val="24"/>
        </w:rPr>
      </w:pPr>
      <w:r w:rsidRPr="007E5ABD">
        <w:rPr>
          <w:rFonts w:ascii="Times New Roman" w:hAnsi="Times New Roman"/>
          <w:b/>
          <w:sz w:val="24"/>
          <w:szCs w:val="24"/>
        </w:rPr>
        <w:t>Int</w:t>
      </w:r>
      <w:r w:rsidR="00AC114A" w:rsidRPr="007E5ABD">
        <w:rPr>
          <w:rFonts w:ascii="Times New Roman" w:hAnsi="Times New Roman"/>
          <w:b/>
          <w:sz w:val="24"/>
          <w:szCs w:val="24"/>
        </w:rPr>
        <w:t>roduction</w:t>
      </w:r>
    </w:p>
    <w:p w14:paraId="784D3047" w14:textId="4389ABC0" w:rsidR="00B811B5" w:rsidRDefault="00F15B9E" w:rsidP="00BB1D4C">
      <w:pPr>
        <w:tabs>
          <w:tab w:val="center" w:pos="4680"/>
          <w:tab w:val="right" w:pos="9360"/>
        </w:tabs>
        <w:spacing w:before="120" w:after="120"/>
        <w:jc w:val="both"/>
        <w:rPr>
          <w:sz w:val="24"/>
          <w:szCs w:val="24"/>
        </w:rPr>
      </w:pPr>
      <w:r>
        <w:rPr>
          <w:sz w:val="24"/>
          <w:szCs w:val="24"/>
        </w:rPr>
        <w:t xml:space="preserve">      Aqueous film forming foam (AFFF) is used to suppress pool fires worldwide. </w:t>
      </w:r>
      <w:r w:rsidR="00945D7D">
        <w:rPr>
          <w:sz w:val="24"/>
          <w:szCs w:val="24"/>
        </w:rPr>
        <w:t>Fluoro-</w:t>
      </w:r>
      <w:r w:rsidR="00B811B5">
        <w:rPr>
          <w:sz w:val="24"/>
          <w:szCs w:val="24"/>
        </w:rPr>
        <w:t>surfactants in AFFF lower the su</w:t>
      </w:r>
      <w:r w:rsidR="00D5597B">
        <w:rPr>
          <w:sz w:val="24"/>
          <w:szCs w:val="24"/>
        </w:rPr>
        <w:t>rface tension of water, enabling</w:t>
      </w:r>
      <w:r w:rsidR="00B811B5">
        <w:rPr>
          <w:sz w:val="24"/>
          <w:szCs w:val="24"/>
        </w:rPr>
        <w:t xml:space="preserve"> a thin film to </w:t>
      </w:r>
      <w:r w:rsidR="004606B4">
        <w:rPr>
          <w:sz w:val="24"/>
          <w:szCs w:val="24"/>
        </w:rPr>
        <w:t xml:space="preserve">spread on top of </w:t>
      </w:r>
      <w:r w:rsidR="00054601">
        <w:rPr>
          <w:sz w:val="24"/>
          <w:szCs w:val="24"/>
        </w:rPr>
        <w:t xml:space="preserve">the </w:t>
      </w:r>
      <w:r w:rsidR="00B811B5">
        <w:rPr>
          <w:sz w:val="24"/>
          <w:szCs w:val="24"/>
        </w:rPr>
        <w:t xml:space="preserve">fuel pool surface. Film formation is assumed to be a critical component </w:t>
      </w:r>
      <w:r w:rsidR="00054601">
        <w:rPr>
          <w:sz w:val="24"/>
          <w:szCs w:val="24"/>
        </w:rPr>
        <w:t>for</w:t>
      </w:r>
      <w:r w:rsidR="00B811B5">
        <w:rPr>
          <w:sz w:val="24"/>
          <w:szCs w:val="24"/>
        </w:rPr>
        <w:t xml:space="preserve"> improved fire suppression, so much so that film formation is</w:t>
      </w:r>
      <w:r w:rsidR="00F31094">
        <w:rPr>
          <w:sz w:val="24"/>
          <w:szCs w:val="24"/>
        </w:rPr>
        <w:t xml:space="preserve"> a current requirement of </w:t>
      </w:r>
      <w:r w:rsidR="00F31094" w:rsidRPr="00F31094">
        <w:rPr>
          <w:sz w:val="24"/>
          <w:szCs w:val="24"/>
        </w:rPr>
        <w:t>MIL-F-24385F</w:t>
      </w:r>
      <w:r w:rsidR="00B811B5">
        <w:rPr>
          <w:sz w:val="24"/>
          <w:szCs w:val="24"/>
        </w:rPr>
        <w:t>, the standard military test for the u</w:t>
      </w:r>
      <w:r w:rsidR="00816C7B">
        <w:rPr>
          <w:sz w:val="24"/>
          <w:szCs w:val="24"/>
        </w:rPr>
        <w:t>se</w:t>
      </w:r>
      <w:r w:rsidR="00B50D4D">
        <w:rPr>
          <w:sz w:val="24"/>
          <w:szCs w:val="24"/>
        </w:rPr>
        <w:t xml:space="preserve"> of firefighting foams </w:t>
      </w:r>
      <w:r w:rsidR="00D17250">
        <w:rPr>
          <w:sz w:val="24"/>
          <w:szCs w:val="24"/>
        </w:rPr>
        <w:t xml:space="preserve">(MilSpec) </w:t>
      </w:r>
      <w:r w:rsidR="00B50D4D">
        <w:rPr>
          <w:sz w:val="24"/>
          <w:szCs w:val="24"/>
        </w:rPr>
        <w:t>[1</w:t>
      </w:r>
      <w:r w:rsidR="00B811B5">
        <w:rPr>
          <w:sz w:val="24"/>
          <w:szCs w:val="24"/>
        </w:rPr>
        <w:t xml:space="preserve">]. </w:t>
      </w:r>
      <w:r w:rsidR="00945D7D">
        <w:rPr>
          <w:sz w:val="24"/>
          <w:szCs w:val="24"/>
        </w:rPr>
        <w:t xml:space="preserve">However, </w:t>
      </w:r>
      <w:r w:rsidR="00B811B5">
        <w:rPr>
          <w:sz w:val="24"/>
          <w:szCs w:val="24"/>
        </w:rPr>
        <w:t>flu</w:t>
      </w:r>
      <w:r w:rsidR="00945D7D">
        <w:rPr>
          <w:sz w:val="24"/>
          <w:szCs w:val="24"/>
        </w:rPr>
        <w:t>oro-surfactants</w:t>
      </w:r>
      <w:r w:rsidR="00B811B5">
        <w:rPr>
          <w:sz w:val="24"/>
          <w:szCs w:val="24"/>
        </w:rPr>
        <w:t xml:space="preserve"> </w:t>
      </w:r>
      <w:r w:rsidR="00945D7D">
        <w:rPr>
          <w:sz w:val="24"/>
          <w:szCs w:val="24"/>
        </w:rPr>
        <w:t xml:space="preserve">that enable film formation </w:t>
      </w:r>
      <w:r w:rsidR="00B811B5">
        <w:rPr>
          <w:sz w:val="24"/>
          <w:szCs w:val="24"/>
        </w:rPr>
        <w:t>have be</w:t>
      </w:r>
      <w:r w:rsidR="00F31094">
        <w:rPr>
          <w:sz w:val="24"/>
          <w:szCs w:val="24"/>
        </w:rPr>
        <w:t>en heavily regulated due to environmental hazards</w:t>
      </w:r>
      <w:r w:rsidR="00B50D4D">
        <w:rPr>
          <w:sz w:val="24"/>
          <w:szCs w:val="24"/>
        </w:rPr>
        <w:t xml:space="preserve"> [2</w:t>
      </w:r>
      <w:r w:rsidR="00B811B5">
        <w:rPr>
          <w:sz w:val="24"/>
          <w:szCs w:val="24"/>
        </w:rPr>
        <w:t>] and require hazardous waste mitigation wh</w:t>
      </w:r>
      <w:r w:rsidR="00F31094">
        <w:rPr>
          <w:sz w:val="24"/>
          <w:szCs w:val="24"/>
        </w:rPr>
        <w:t>en used</w:t>
      </w:r>
      <w:r w:rsidR="00B811B5">
        <w:rPr>
          <w:sz w:val="24"/>
          <w:szCs w:val="24"/>
        </w:rPr>
        <w:t xml:space="preserve">. </w:t>
      </w:r>
    </w:p>
    <w:p w14:paraId="4441FDD1" w14:textId="2DEEE03A" w:rsidR="00B811B5" w:rsidRDefault="00B811B5" w:rsidP="009A64AA">
      <w:pPr>
        <w:tabs>
          <w:tab w:val="center" w:pos="4680"/>
          <w:tab w:val="right" w:pos="9360"/>
        </w:tabs>
        <w:spacing w:before="120" w:after="120"/>
        <w:jc w:val="both"/>
        <w:rPr>
          <w:sz w:val="24"/>
          <w:szCs w:val="24"/>
        </w:rPr>
      </w:pPr>
      <w:r>
        <w:rPr>
          <w:sz w:val="24"/>
          <w:szCs w:val="24"/>
        </w:rPr>
        <w:t xml:space="preserve">      Current effort</w:t>
      </w:r>
      <w:r w:rsidR="00D5597B">
        <w:rPr>
          <w:sz w:val="24"/>
          <w:szCs w:val="24"/>
        </w:rPr>
        <w:t>s are being undertaken</w:t>
      </w:r>
      <w:r>
        <w:rPr>
          <w:sz w:val="24"/>
          <w:szCs w:val="24"/>
        </w:rPr>
        <w:t xml:space="preserve"> to find an environmentally frien</w:t>
      </w:r>
      <w:r w:rsidR="00945D7D">
        <w:rPr>
          <w:sz w:val="24"/>
          <w:szCs w:val="24"/>
        </w:rPr>
        <w:t>dly surfactant. P</w:t>
      </w:r>
      <w:r w:rsidR="00D5597B">
        <w:rPr>
          <w:sz w:val="24"/>
          <w:szCs w:val="24"/>
        </w:rPr>
        <w:t>rogress would benefit from an analytically defined reference formulation since</w:t>
      </w:r>
      <w:r w:rsidR="008B103D">
        <w:rPr>
          <w:sz w:val="24"/>
          <w:szCs w:val="24"/>
        </w:rPr>
        <w:t xml:space="preserve"> developments</w:t>
      </w:r>
      <w:r>
        <w:rPr>
          <w:sz w:val="24"/>
          <w:szCs w:val="24"/>
        </w:rPr>
        <w:t xml:space="preserve"> have been stifled by proprietary information </w:t>
      </w:r>
      <w:r w:rsidR="003F02A2">
        <w:rPr>
          <w:sz w:val="24"/>
          <w:szCs w:val="24"/>
        </w:rPr>
        <w:t>concerning</w:t>
      </w:r>
      <w:r>
        <w:rPr>
          <w:sz w:val="24"/>
          <w:szCs w:val="24"/>
        </w:rPr>
        <w:t xml:space="preserve"> commercial AFFF </w:t>
      </w:r>
      <w:r w:rsidR="003F02A2">
        <w:rPr>
          <w:sz w:val="24"/>
          <w:szCs w:val="24"/>
        </w:rPr>
        <w:t>composition</w:t>
      </w:r>
      <w:r>
        <w:rPr>
          <w:sz w:val="24"/>
          <w:szCs w:val="24"/>
        </w:rPr>
        <w:t xml:space="preserve">. </w:t>
      </w:r>
      <w:r w:rsidR="001D49F5">
        <w:rPr>
          <w:sz w:val="24"/>
          <w:szCs w:val="24"/>
        </w:rPr>
        <w:t>Dlu</w:t>
      </w:r>
      <w:r w:rsidR="00B50D4D">
        <w:rPr>
          <w:sz w:val="24"/>
          <w:szCs w:val="24"/>
        </w:rPr>
        <w:t>gogorski [3</w:t>
      </w:r>
      <w:r w:rsidR="00154294">
        <w:rPr>
          <w:sz w:val="24"/>
          <w:szCs w:val="24"/>
        </w:rPr>
        <w:t>]</w:t>
      </w:r>
      <w:r w:rsidR="008B103D">
        <w:rPr>
          <w:sz w:val="24"/>
          <w:szCs w:val="24"/>
        </w:rPr>
        <w:t xml:space="preserve"> provide</w:t>
      </w:r>
      <w:r w:rsidR="00154294">
        <w:rPr>
          <w:sz w:val="24"/>
          <w:szCs w:val="24"/>
        </w:rPr>
        <w:t>s</w:t>
      </w:r>
      <w:r w:rsidR="001D49F5">
        <w:rPr>
          <w:sz w:val="24"/>
          <w:szCs w:val="24"/>
        </w:rPr>
        <w:t xml:space="preserve"> some information on AFFF compo</w:t>
      </w:r>
      <w:r w:rsidR="008B103D">
        <w:rPr>
          <w:sz w:val="24"/>
          <w:szCs w:val="24"/>
        </w:rPr>
        <w:t xml:space="preserve">sition for a specific brand of </w:t>
      </w:r>
      <w:r w:rsidR="004606B4">
        <w:rPr>
          <w:sz w:val="24"/>
          <w:szCs w:val="24"/>
        </w:rPr>
        <w:t xml:space="preserve">commercial </w:t>
      </w:r>
      <w:r w:rsidR="008B103D">
        <w:rPr>
          <w:sz w:val="24"/>
          <w:szCs w:val="24"/>
        </w:rPr>
        <w:t>AFFF, b</w:t>
      </w:r>
      <w:r w:rsidR="001D49F5">
        <w:rPr>
          <w:sz w:val="24"/>
          <w:szCs w:val="24"/>
        </w:rPr>
        <w:t>ut hundreds of A</w:t>
      </w:r>
      <w:r w:rsidR="008B103D">
        <w:rPr>
          <w:sz w:val="24"/>
          <w:szCs w:val="24"/>
        </w:rPr>
        <w:t>FFF formulations exist with</w:t>
      </w:r>
      <w:r w:rsidR="001D49F5">
        <w:rPr>
          <w:sz w:val="24"/>
          <w:szCs w:val="24"/>
        </w:rPr>
        <w:t xml:space="preserve"> research citing different compan</w:t>
      </w:r>
      <w:r w:rsidR="00816C7B">
        <w:rPr>
          <w:sz w:val="24"/>
          <w:szCs w:val="24"/>
        </w:rPr>
        <w:t xml:space="preserve">ies with differing </w:t>
      </w:r>
      <w:r w:rsidR="00154294">
        <w:rPr>
          <w:sz w:val="24"/>
          <w:szCs w:val="24"/>
        </w:rPr>
        <w:t>formulations</w:t>
      </w:r>
      <w:r w:rsidR="00737239">
        <w:rPr>
          <w:sz w:val="24"/>
          <w:szCs w:val="24"/>
        </w:rPr>
        <w:t xml:space="preserve"> (AFFF FC-206</w:t>
      </w:r>
      <w:r w:rsidR="00F573AF">
        <w:rPr>
          <w:sz w:val="24"/>
          <w:szCs w:val="24"/>
        </w:rPr>
        <w:t>CF by Lattimer [4],</w:t>
      </w:r>
      <w:r w:rsidR="00737239">
        <w:rPr>
          <w:sz w:val="24"/>
          <w:szCs w:val="24"/>
        </w:rPr>
        <w:t xml:space="preserve"> </w:t>
      </w:r>
      <w:r w:rsidR="00F573AF">
        <w:rPr>
          <w:sz w:val="24"/>
          <w:szCs w:val="24"/>
        </w:rPr>
        <w:t>National and Buckeye by Williams [5])</w:t>
      </w:r>
      <w:r w:rsidR="00816C7B">
        <w:rPr>
          <w:sz w:val="24"/>
          <w:szCs w:val="24"/>
        </w:rPr>
        <w:t>.</w:t>
      </w:r>
      <w:r w:rsidR="00463A19" w:rsidRPr="00463A19">
        <w:rPr>
          <w:sz w:val="24"/>
          <w:szCs w:val="24"/>
        </w:rPr>
        <w:t xml:space="preserve"> </w:t>
      </w:r>
      <w:r w:rsidR="00463A19" w:rsidRPr="007B3E3F">
        <w:rPr>
          <w:sz w:val="24"/>
          <w:szCs w:val="24"/>
        </w:rPr>
        <w:t xml:space="preserve">Researchers have made </w:t>
      </w:r>
      <w:r w:rsidR="00463A19">
        <w:rPr>
          <w:sz w:val="24"/>
          <w:szCs w:val="24"/>
        </w:rPr>
        <w:t>fluorine-free analytical</w:t>
      </w:r>
      <w:r w:rsidR="00463A19" w:rsidRPr="007B3E3F">
        <w:rPr>
          <w:sz w:val="24"/>
          <w:szCs w:val="24"/>
        </w:rPr>
        <w:t xml:space="preserve"> foam solutions</w:t>
      </w:r>
      <w:r w:rsidR="00463A19">
        <w:rPr>
          <w:sz w:val="24"/>
          <w:szCs w:val="24"/>
        </w:rPr>
        <w:t xml:space="preserve">, but little focus has been given to designing a fluorinated foam solution since they exist commercially [6, 7]. </w:t>
      </w:r>
      <w:r w:rsidR="00816C7B">
        <w:rPr>
          <w:sz w:val="24"/>
          <w:szCs w:val="24"/>
        </w:rPr>
        <w:t xml:space="preserve"> </w:t>
      </w:r>
      <w:r w:rsidR="001D49F5">
        <w:rPr>
          <w:sz w:val="24"/>
          <w:szCs w:val="24"/>
        </w:rPr>
        <w:t xml:space="preserve"> </w:t>
      </w:r>
    </w:p>
    <w:p w14:paraId="32B315AA" w14:textId="130877EA" w:rsidR="001D49F5" w:rsidRPr="00816C7B" w:rsidRDefault="008B103D" w:rsidP="00767436">
      <w:pPr>
        <w:tabs>
          <w:tab w:val="center" w:pos="4680"/>
          <w:tab w:val="right" w:pos="9360"/>
        </w:tabs>
        <w:spacing w:before="120" w:after="120"/>
        <w:jc w:val="both"/>
        <w:rPr>
          <w:sz w:val="24"/>
          <w:szCs w:val="24"/>
        </w:rPr>
      </w:pPr>
      <w:r>
        <w:rPr>
          <w:sz w:val="24"/>
          <w:szCs w:val="24"/>
        </w:rPr>
        <w:lastRenderedPageBreak/>
        <w:t xml:space="preserve">     To provide</w:t>
      </w:r>
      <w:r w:rsidR="001D49F5">
        <w:rPr>
          <w:sz w:val="24"/>
          <w:szCs w:val="24"/>
        </w:rPr>
        <w:t xml:space="preserve"> cons</w:t>
      </w:r>
      <w:r>
        <w:rPr>
          <w:sz w:val="24"/>
          <w:szCs w:val="24"/>
        </w:rPr>
        <w:t>istency to AFFF research</w:t>
      </w:r>
      <w:r w:rsidR="001D49F5">
        <w:rPr>
          <w:sz w:val="24"/>
          <w:szCs w:val="24"/>
        </w:rPr>
        <w:t xml:space="preserve"> at the U.S. Na</w:t>
      </w:r>
      <w:r w:rsidR="009A64AA">
        <w:rPr>
          <w:sz w:val="24"/>
          <w:szCs w:val="24"/>
        </w:rPr>
        <w:t xml:space="preserve">val Research Laboratory, we </w:t>
      </w:r>
      <w:r w:rsidR="00463A19">
        <w:rPr>
          <w:sz w:val="24"/>
          <w:szCs w:val="24"/>
        </w:rPr>
        <w:t>are</w:t>
      </w:r>
      <w:r w:rsidR="00054601">
        <w:rPr>
          <w:sz w:val="24"/>
          <w:szCs w:val="24"/>
        </w:rPr>
        <w:t xml:space="preserve"> </w:t>
      </w:r>
      <w:r w:rsidR="001D49F5">
        <w:rPr>
          <w:sz w:val="24"/>
          <w:szCs w:val="24"/>
        </w:rPr>
        <w:t>develop</w:t>
      </w:r>
      <w:r w:rsidR="00463A19">
        <w:rPr>
          <w:sz w:val="24"/>
          <w:szCs w:val="24"/>
        </w:rPr>
        <w:t>ing</w:t>
      </w:r>
      <w:r w:rsidR="00D5597B">
        <w:rPr>
          <w:sz w:val="24"/>
          <w:szCs w:val="24"/>
        </w:rPr>
        <w:t xml:space="preserve"> an analytically defined</w:t>
      </w:r>
      <w:r w:rsidR="001D49F5">
        <w:rPr>
          <w:sz w:val="24"/>
          <w:szCs w:val="24"/>
        </w:rPr>
        <w:t xml:space="preserve"> AFFF formulation</w:t>
      </w:r>
      <w:r w:rsidR="003F02A2">
        <w:rPr>
          <w:sz w:val="24"/>
          <w:szCs w:val="24"/>
        </w:rPr>
        <w:t xml:space="preserve"> </w:t>
      </w:r>
      <w:r w:rsidR="001D49F5">
        <w:rPr>
          <w:sz w:val="24"/>
          <w:szCs w:val="24"/>
        </w:rPr>
        <w:t>comprise</w:t>
      </w:r>
      <w:r w:rsidR="003F02A2">
        <w:rPr>
          <w:sz w:val="24"/>
          <w:szCs w:val="24"/>
        </w:rPr>
        <w:t>d</w:t>
      </w:r>
      <w:r w:rsidR="001D49F5">
        <w:rPr>
          <w:sz w:val="24"/>
          <w:szCs w:val="24"/>
        </w:rPr>
        <w:t xml:space="preserve"> of 3-4 well defined</w:t>
      </w:r>
      <w:r w:rsidR="00D5597B">
        <w:rPr>
          <w:sz w:val="24"/>
          <w:szCs w:val="24"/>
        </w:rPr>
        <w:t xml:space="preserve"> components</w:t>
      </w:r>
      <w:r w:rsidR="00187849">
        <w:rPr>
          <w:sz w:val="24"/>
          <w:szCs w:val="24"/>
        </w:rPr>
        <w:t xml:space="preserve"> that c</w:t>
      </w:r>
      <w:r w:rsidR="004606B4">
        <w:rPr>
          <w:sz w:val="24"/>
          <w:szCs w:val="24"/>
        </w:rPr>
        <w:t>an</w:t>
      </w:r>
      <w:r w:rsidR="00187849">
        <w:rPr>
          <w:sz w:val="24"/>
          <w:szCs w:val="24"/>
        </w:rPr>
        <w:t xml:space="preserve"> be </w:t>
      </w:r>
      <w:r w:rsidR="001D49F5">
        <w:rPr>
          <w:sz w:val="24"/>
          <w:szCs w:val="24"/>
        </w:rPr>
        <w:t>reproduc</w:t>
      </w:r>
      <w:r>
        <w:rPr>
          <w:sz w:val="24"/>
          <w:szCs w:val="24"/>
        </w:rPr>
        <w:t>ed by other research organizations</w:t>
      </w:r>
      <w:r w:rsidR="001D49F5">
        <w:rPr>
          <w:sz w:val="24"/>
          <w:szCs w:val="24"/>
        </w:rPr>
        <w:t xml:space="preserve">. </w:t>
      </w:r>
      <w:r w:rsidR="001947A3">
        <w:rPr>
          <w:sz w:val="24"/>
          <w:szCs w:val="24"/>
        </w:rPr>
        <w:t>W</w:t>
      </w:r>
      <w:r w:rsidR="00FC437C">
        <w:rPr>
          <w:sz w:val="24"/>
          <w:szCs w:val="24"/>
        </w:rPr>
        <w:t>e have designed a reference</w:t>
      </w:r>
      <w:r w:rsidR="00816C7B">
        <w:rPr>
          <w:sz w:val="24"/>
          <w:szCs w:val="24"/>
        </w:rPr>
        <w:t xml:space="preserve"> formulation</w:t>
      </w:r>
      <w:r w:rsidR="003F02A2">
        <w:rPr>
          <w:sz w:val="24"/>
          <w:szCs w:val="24"/>
        </w:rPr>
        <w:t xml:space="preserve"> that</w:t>
      </w:r>
      <w:r w:rsidR="00816C7B">
        <w:rPr>
          <w:sz w:val="24"/>
          <w:szCs w:val="24"/>
        </w:rPr>
        <w:t xml:space="preserve"> match</w:t>
      </w:r>
      <w:r w:rsidR="003F02A2">
        <w:rPr>
          <w:sz w:val="24"/>
          <w:szCs w:val="24"/>
        </w:rPr>
        <w:t>es</w:t>
      </w:r>
      <w:r>
        <w:rPr>
          <w:sz w:val="24"/>
          <w:szCs w:val="24"/>
        </w:rPr>
        <w:t xml:space="preserve"> properties</w:t>
      </w:r>
      <w:r w:rsidR="00816C7B">
        <w:rPr>
          <w:sz w:val="24"/>
          <w:szCs w:val="24"/>
        </w:rPr>
        <w:t xml:space="preserve"> </w:t>
      </w:r>
      <w:r w:rsidR="00187849">
        <w:rPr>
          <w:sz w:val="24"/>
          <w:szCs w:val="24"/>
        </w:rPr>
        <w:t xml:space="preserve">of </w:t>
      </w:r>
      <w:r>
        <w:rPr>
          <w:sz w:val="24"/>
          <w:szCs w:val="24"/>
        </w:rPr>
        <w:t>c</w:t>
      </w:r>
      <w:r w:rsidR="003F02A2">
        <w:rPr>
          <w:sz w:val="24"/>
          <w:szCs w:val="24"/>
        </w:rPr>
        <w:t>ommercial AFFF that most relate</w:t>
      </w:r>
      <w:r>
        <w:rPr>
          <w:sz w:val="24"/>
          <w:szCs w:val="24"/>
        </w:rPr>
        <w:t xml:space="preserve"> to film formation. This formulation</w:t>
      </w:r>
      <w:r w:rsidR="00816C7B">
        <w:rPr>
          <w:sz w:val="24"/>
          <w:szCs w:val="24"/>
        </w:rPr>
        <w:t xml:space="preserve"> was</w:t>
      </w:r>
      <w:r>
        <w:rPr>
          <w:sz w:val="24"/>
          <w:szCs w:val="24"/>
        </w:rPr>
        <w:t xml:space="preserve"> then</w:t>
      </w:r>
      <w:r w:rsidR="00816C7B">
        <w:rPr>
          <w:sz w:val="24"/>
          <w:szCs w:val="24"/>
        </w:rPr>
        <w:t xml:space="preserve"> tested in the 28 ft</w:t>
      </w:r>
      <w:r w:rsidR="00816C7B">
        <w:rPr>
          <w:sz w:val="24"/>
          <w:szCs w:val="24"/>
          <w:vertAlign w:val="superscript"/>
        </w:rPr>
        <w:t>2</w:t>
      </w:r>
      <w:r w:rsidR="00816C7B">
        <w:rPr>
          <w:sz w:val="24"/>
          <w:szCs w:val="24"/>
        </w:rPr>
        <w:t xml:space="preserve"> pool fire </w:t>
      </w:r>
      <w:r w:rsidR="00463A19">
        <w:rPr>
          <w:sz w:val="24"/>
          <w:szCs w:val="24"/>
        </w:rPr>
        <w:t xml:space="preserve">extinction and burn-back </w:t>
      </w:r>
      <w:r w:rsidR="00816C7B">
        <w:rPr>
          <w:sz w:val="24"/>
          <w:szCs w:val="24"/>
        </w:rPr>
        <w:t xml:space="preserve">test detailed in </w:t>
      </w:r>
      <w:r w:rsidRPr="008B103D">
        <w:rPr>
          <w:sz w:val="24"/>
          <w:szCs w:val="24"/>
        </w:rPr>
        <w:t xml:space="preserve">MIL-F-24385F </w:t>
      </w:r>
      <w:r w:rsidR="00816C7B">
        <w:rPr>
          <w:sz w:val="24"/>
          <w:szCs w:val="24"/>
        </w:rPr>
        <w:t xml:space="preserve">[1]. </w:t>
      </w:r>
      <w:r w:rsidR="00AF22FD">
        <w:rPr>
          <w:sz w:val="24"/>
          <w:szCs w:val="24"/>
        </w:rPr>
        <w:t xml:space="preserve"> </w:t>
      </w:r>
    </w:p>
    <w:p w14:paraId="1B52F353" w14:textId="77777777" w:rsidR="00F15B9E" w:rsidRDefault="00F15B9E" w:rsidP="00767436">
      <w:pPr>
        <w:tabs>
          <w:tab w:val="center" w:pos="4680"/>
          <w:tab w:val="right" w:pos="9360"/>
        </w:tabs>
        <w:spacing w:before="120" w:after="120"/>
        <w:jc w:val="both"/>
      </w:pPr>
    </w:p>
    <w:p w14:paraId="584D8574" w14:textId="77777777" w:rsidR="00A61F50" w:rsidRPr="00BB1D4C" w:rsidRDefault="00AE7B29" w:rsidP="00BB1D4C">
      <w:pPr>
        <w:pStyle w:val="Heading1"/>
        <w:numPr>
          <w:ilvl w:val="0"/>
          <w:numId w:val="6"/>
        </w:numPr>
        <w:spacing w:before="120" w:after="120"/>
        <w:ind w:left="360"/>
        <w:rPr>
          <w:sz w:val="24"/>
          <w:szCs w:val="24"/>
        </w:rPr>
      </w:pPr>
      <w:r w:rsidRPr="007E5ABD">
        <w:rPr>
          <w:sz w:val="24"/>
          <w:szCs w:val="24"/>
        </w:rPr>
        <w:t>Methods</w:t>
      </w:r>
      <w:r w:rsidR="00767436">
        <w:rPr>
          <w:sz w:val="24"/>
          <w:szCs w:val="24"/>
        </w:rPr>
        <w:t xml:space="preserve"> / Experimental</w:t>
      </w:r>
    </w:p>
    <w:p w14:paraId="3BED3724" w14:textId="176AF5D6" w:rsidR="004F7176" w:rsidRDefault="006D4CEA" w:rsidP="00F04348">
      <w:pPr>
        <w:spacing w:before="120" w:after="120"/>
        <w:ind w:firstLine="360"/>
        <w:rPr>
          <w:sz w:val="24"/>
          <w:szCs w:val="24"/>
        </w:rPr>
      </w:pPr>
      <w:r>
        <w:rPr>
          <w:sz w:val="24"/>
          <w:szCs w:val="24"/>
        </w:rPr>
        <w:t>M</w:t>
      </w:r>
      <w:r w:rsidR="003C108C">
        <w:rPr>
          <w:sz w:val="24"/>
          <w:szCs w:val="24"/>
        </w:rPr>
        <w:t xml:space="preserve">aterials used for the reference AFFF </w:t>
      </w:r>
      <w:r w:rsidR="001B2846">
        <w:rPr>
          <w:sz w:val="24"/>
          <w:szCs w:val="24"/>
        </w:rPr>
        <w:t>formulation were the following: Capstone (</w:t>
      </w:r>
      <w:r w:rsidR="00D5597B">
        <w:rPr>
          <w:sz w:val="24"/>
          <w:szCs w:val="24"/>
        </w:rPr>
        <w:t>a 6:2 fluorotelomer sulfonamide alkylbetaine surfactant,</w:t>
      </w:r>
      <w:r w:rsidR="000B4768">
        <w:rPr>
          <w:sz w:val="24"/>
          <w:szCs w:val="24"/>
        </w:rPr>
        <w:t xml:space="preserve"> </w:t>
      </w:r>
      <w:r w:rsidR="003C108C" w:rsidRPr="001B2846">
        <w:rPr>
          <w:sz w:val="24"/>
          <w:szCs w:val="24"/>
        </w:rPr>
        <w:t>DuPont</w:t>
      </w:r>
      <w:r w:rsidR="000B4768">
        <w:rPr>
          <w:sz w:val="24"/>
          <w:szCs w:val="24"/>
        </w:rPr>
        <w:t xml:space="preserve"> Inc.</w:t>
      </w:r>
      <w:r w:rsidR="00E322AA">
        <w:rPr>
          <w:sz w:val="24"/>
          <w:szCs w:val="24"/>
        </w:rPr>
        <w:t xml:space="preserve">), </w:t>
      </w:r>
      <w:r w:rsidR="00D54E17">
        <w:rPr>
          <w:sz w:val="24"/>
          <w:szCs w:val="24"/>
        </w:rPr>
        <w:t>Triton X-100 (Sigma Aldrich</w:t>
      </w:r>
      <w:r w:rsidR="001B2846">
        <w:rPr>
          <w:sz w:val="24"/>
          <w:szCs w:val="24"/>
        </w:rPr>
        <w:t>), and diethylene glycol butyl ether (</w:t>
      </w:r>
      <w:r w:rsidR="00D54E17">
        <w:rPr>
          <w:sz w:val="24"/>
          <w:szCs w:val="24"/>
        </w:rPr>
        <w:t>DGBE, Sigma Aldrich</w:t>
      </w:r>
      <w:r w:rsidR="001B2846">
        <w:rPr>
          <w:sz w:val="24"/>
          <w:szCs w:val="24"/>
        </w:rPr>
        <w:t>)</w:t>
      </w:r>
      <w:r w:rsidR="003C108C" w:rsidRPr="001B2846">
        <w:rPr>
          <w:sz w:val="24"/>
          <w:szCs w:val="24"/>
        </w:rPr>
        <w:t xml:space="preserve">. </w:t>
      </w:r>
      <w:r w:rsidR="004B0DF8">
        <w:rPr>
          <w:sz w:val="24"/>
          <w:szCs w:val="24"/>
        </w:rPr>
        <w:t xml:space="preserve">We compare the reference AFFF with </w:t>
      </w:r>
      <w:r w:rsidR="00F04348" w:rsidRPr="004B0DF8">
        <w:rPr>
          <w:sz w:val="24"/>
          <w:szCs w:val="24"/>
        </w:rPr>
        <w:t xml:space="preserve">National 3% </w:t>
      </w:r>
      <w:r w:rsidR="004B0DF8" w:rsidRPr="004B0DF8">
        <w:rPr>
          <w:sz w:val="24"/>
          <w:szCs w:val="24"/>
        </w:rPr>
        <w:t xml:space="preserve">commercial </w:t>
      </w:r>
      <w:r w:rsidR="00F04348" w:rsidRPr="004B0DF8">
        <w:rPr>
          <w:sz w:val="24"/>
          <w:szCs w:val="24"/>
        </w:rPr>
        <w:t>foam</w:t>
      </w:r>
      <w:r w:rsidR="00D17250" w:rsidRPr="004B0DF8">
        <w:rPr>
          <w:sz w:val="24"/>
          <w:szCs w:val="24"/>
        </w:rPr>
        <w:t xml:space="preserve"> in-lab because </w:t>
      </w:r>
      <w:r w:rsidR="004B0DF8" w:rsidRPr="004B0DF8">
        <w:rPr>
          <w:sz w:val="24"/>
          <w:szCs w:val="24"/>
        </w:rPr>
        <w:t>both formulation</w:t>
      </w:r>
      <w:r w:rsidR="004B0DF8">
        <w:rPr>
          <w:sz w:val="24"/>
          <w:szCs w:val="24"/>
        </w:rPr>
        <w:t>s</w:t>
      </w:r>
      <w:r w:rsidR="004B0DF8" w:rsidRPr="004B0DF8">
        <w:rPr>
          <w:sz w:val="24"/>
          <w:szCs w:val="24"/>
        </w:rPr>
        <w:t xml:space="preserve"> contain the same </w:t>
      </w:r>
      <w:r w:rsidR="00D17250" w:rsidRPr="004B0DF8">
        <w:rPr>
          <w:sz w:val="24"/>
          <w:szCs w:val="24"/>
        </w:rPr>
        <w:t xml:space="preserve">fluoro-surfactant </w:t>
      </w:r>
      <w:r w:rsidR="004B0DF8" w:rsidRPr="004B0DF8">
        <w:rPr>
          <w:sz w:val="24"/>
          <w:szCs w:val="24"/>
        </w:rPr>
        <w:t xml:space="preserve">(Capstone, DuPont Inc.) </w:t>
      </w:r>
      <w:r>
        <w:rPr>
          <w:sz w:val="24"/>
          <w:szCs w:val="24"/>
        </w:rPr>
        <w:t>F</w:t>
      </w:r>
      <w:r w:rsidR="004F7176">
        <w:rPr>
          <w:sz w:val="24"/>
          <w:szCs w:val="24"/>
        </w:rPr>
        <w:t>oam solutions were characterized by dynamic sur</w:t>
      </w:r>
      <w:r w:rsidR="002947BB">
        <w:rPr>
          <w:sz w:val="24"/>
          <w:szCs w:val="24"/>
        </w:rPr>
        <w:t>face tension</w:t>
      </w:r>
      <w:r w:rsidR="004F7176">
        <w:rPr>
          <w:sz w:val="24"/>
          <w:szCs w:val="24"/>
        </w:rPr>
        <w:t xml:space="preserve"> (</w:t>
      </w:r>
      <w:r w:rsidR="000B4768">
        <w:rPr>
          <w:sz w:val="24"/>
          <w:szCs w:val="24"/>
        </w:rPr>
        <w:t xml:space="preserve">using </w:t>
      </w:r>
      <w:r w:rsidR="00E322AA">
        <w:rPr>
          <w:sz w:val="24"/>
          <w:szCs w:val="24"/>
        </w:rPr>
        <w:t xml:space="preserve">a </w:t>
      </w:r>
      <w:r w:rsidR="004F7176">
        <w:rPr>
          <w:sz w:val="24"/>
          <w:szCs w:val="24"/>
        </w:rPr>
        <w:t>bubble tensiometer), static surface tension</w:t>
      </w:r>
      <w:r w:rsidR="004D067D">
        <w:rPr>
          <w:sz w:val="24"/>
          <w:szCs w:val="24"/>
        </w:rPr>
        <w:t xml:space="preserve"> </w:t>
      </w:r>
      <w:r w:rsidR="004F7176">
        <w:rPr>
          <w:sz w:val="24"/>
          <w:szCs w:val="24"/>
        </w:rPr>
        <w:t>and spreading coefficient (</w:t>
      </w:r>
      <w:r w:rsidR="000B4768">
        <w:rPr>
          <w:sz w:val="24"/>
          <w:szCs w:val="24"/>
        </w:rPr>
        <w:t xml:space="preserve">using </w:t>
      </w:r>
      <w:r w:rsidR="00E322AA">
        <w:rPr>
          <w:sz w:val="24"/>
          <w:szCs w:val="24"/>
        </w:rPr>
        <w:t xml:space="preserve">a </w:t>
      </w:r>
      <w:r w:rsidR="004F7176">
        <w:rPr>
          <w:sz w:val="24"/>
          <w:szCs w:val="24"/>
        </w:rPr>
        <w:t>DuNoy ring tensiometer</w:t>
      </w:r>
      <w:r w:rsidR="00711D33">
        <w:rPr>
          <w:sz w:val="24"/>
          <w:szCs w:val="24"/>
        </w:rPr>
        <w:t>)</w:t>
      </w:r>
      <w:r w:rsidR="002947BB">
        <w:rPr>
          <w:sz w:val="24"/>
          <w:szCs w:val="24"/>
        </w:rPr>
        <w:t xml:space="preserve"> at room temperature</w:t>
      </w:r>
      <w:r w:rsidR="00711D33">
        <w:rPr>
          <w:sz w:val="24"/>
          <w:szCs w:val="24"/>
        </w:rPr>
        <w:t>.</w:t>
      </w:r>
      <w:r w:rsidR="001B2846">
        <w:rPr>
          <w:sz w:val="24"/>
          <w:szCs w:val="24"/>
        </w:rPr>
        <w:t xml:space="preserve"> </w:t>
      </w:r>
      <w:r w:rsidR="004F7176">
        <w:rPr>
          <w:sz w:val="24"/>
          <w:szCs w:val="24"/>
        </w:rPr>
        <w:t xml:space="preserve">The spreading coefficient </w:t>
      </w:r>
      <w:r>
        <w:rPr>
          <w:sz w:val="24"/>
          <w:szCs w:val="24"/>
        </w:rPr>
        <w:t>wa</w:t>
      </w:r>
      <w:r w:rsidR="004F7176">
        <w:rPr>
          <w:sz w:val="24"/>
          <w:szCs w:val="24"/>
        </w:rPr>
        <w:t xml:space="preserve">s </w:t>
      </w:r>
      <w:r w:rsidR="002947BB">
        <w:rPr>
          <w:sz w:val="24"/>
          <w:szCs w:val="24"/>
        </w:rPr>
        <w:t xml:space="preserve">determined </w:t>
      </w:r>
      <w:r>
        <w:rPr>
          <w:sz w:val="24"/>
          <w:szCs w:val="24"/>
        </w:rPr>
        <w:t>using</w:t>
      </w:r>
      <w:r w:rsidR="002947BB">
        <w:rPr>
          <w:sz w:val="24"/>
          <w:szCs w:val="24"/>
        </w:rPr>
        <w:t xml:space="preserve"> Eq</w:t>
      </w:r>
      <w:r w:rsidR="004D067D">
        <w:rPr>
          <w:sz w:val="24"/>
          <w:szCs w:val="24"/>
        </w:rPr>
        <w:t xml:space="preserve">. </w:t>
      </w:r>
      <w:r w:rsidR="002947BB">
        <w:rPr>
          <w:sz w:val="24"/>
          <w:szCs w:val="24"/>
        </w:rPr>
        <w:t>(1)</w:t>
      </w:r>
      <w:r w:rsidR="00146FB7">
        <w:rPr>
          <w:sz w:val="24"/>
          <w:szCs w:val="24"/>
        </w:rPr>
        <w:t xml:space="preserve"> [1]</w:t>
      </w:r>
      <w:r w:rsidR="00E322AA">
        <w:rPr>
          <w:sz w:val="24"/>
          <w:szCs w:val="24"/>
        </w:rPr>
        <w:t>.</w:t>
      </w:r>
    </w:p>
    <w:p w14:paraId="16694157" w14:textId="0135AA09" w:rsidR="00B12372" w:rsidRDefault="004F7176" w:rsidP="00146FB7">
      <w:pPr>
        <w:spacing w:before="160" w:after="160"/>
        <w:ind w:left="360"/>
        <w:jc w:val="center"/>
        <w:rPr>
          <w:sz w:val="24"/>
          <w:szCs w:val="24"/>
        </w:rPr>
      </w:pPr>
      <m:oMath>
        <m:r>
          <w:rPr>
            <w:rFonts w:ascii="Cambria Math" w:hAnsi="Cambria Math"/>
            <w:sz w:val="24"/>
            <w:szCs w:val="24"/>
          </w:rPr>
          <m:t xml:space="preserve">Spreading Coefficient= </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cyclohexane</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foam solution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σ</m:t>
            </m:r>
          </m:e>
          <m:sub>
            <m:r>
              <w:rPr>
                <w:rFonts w:ascii="Cambria Math" w:hAnsi="Cambria Math"/>
                <w:sz w:val="24"/>
                <w:szCs w:val="24"/>
              </w:rPr>
              <m:t>interfacial</m:t>
            </m:r>
          </m:sub>
        </m:sSub>
      </m:oMath>
      <w:r w:rsidR="00761CAF">
        <w:rPr>
          <w:sz w:val="24"/>
          <w:szCs w:val="24"/>
        </w:rPr>
        <w:tab/>
      </w:r>
      <w:r w:rsidR="00B12372">
        <w:rPr>
          <w:sz w:val="24"/>
          <w:szCs w:val="24"/>
        </w:rPr>
        <w:t>(1)</w:t>
      </w:r>
    </w:p>
    <w:p w14:paraId="5EFC513D" w14:textId="614A9F7F" w:rsidR="00D37782" w:rsidRDefault="004D067D" w:rsidP="00BB1D4C">
      <w:pPr>
        <w:spacing w:before="160" w:after="160"/>
        <w:rPr>
          <w:sz w:val="24"/>
          <w:szCs w:val="24"/>
        </w:rPr>
      </w:pPr>
      <w:r>
        <w:rPr>
          <w:sz w:val="24"/>
          <w:szCs w:val="24"/>
        </w:rPr>
        <w:t xml:space="preserve">In Eq. (1), </w:t>
      </w:r>
      <w:r w:rsidRPr="00E322AA">
        <w:rPr>
          <w:i/>
          <w:sz w:val="24"/>
          <w:szCs w:val="24"/>
        </w:rPr>
        <w:t>σ</w:t>
      </w:r>
      <w:r w:rsidRPr="00E322AA">
        <w:rPr>
          <w:i/>
          <w:sz w:val="24"/>
          <w:szCs w:val="24"/>
          <w:vertAlign w:val="subscript"/>
        </w:rPr>
        <w:t>cyclohexane</w:t>
      </w:r>
      <w:r>
        <w:rPr>
          <w:sz w:val="24"/>
          <w:szCs w:val="24"/>
        </w:rPr>
        <w:t xml:space="preserve"> and </w:t>
      </w:r>
      <w:r w:rsidRPr="008033E5">
        <w:rPr>
          <w:i/>
          <w:sz w:val="24"/>
          <w:szCs w:val="24"/>
        </w:rPr>
        <w:t>σ</w:t>
      </w:r>
      <w:r>
        <w:rPr>
          <w:i/>
          <w:sz w:val="24"/>
          <w:szCs w:val="24"/>
          <w:vertAlign w:val="subscript"/>
        </w:rPr>
        <w:t>foam</w:t>
      </w:r>
      <w:r w:rsidR="00E322AA">
        <w:rPr>
          <w:i/>
          <w:sz w:val="24"/>
          <w:szCs w:val="24"/>
          <w:vertAlign w:val="subscript"/>
        </w:rPr>
        <w:t xml:space="preserve"> </w:t>
      </w:r>
      <w:r>
        <w:rPr>
          <w:i/>
          <w:sz w:val="24"/>
          <w:szCs w:val="24"/>
          <w:vertAlign w:val="subscript"/>
        </w:rPr>
        <w:t xml:space="preserve">solution </w:t>
      </w:r>
      <w:r>
        <w:rPr>
          <w:sz w:val="24"/>
          <w:szCs w:val="24"/>
        </w:rPr>
        <w:t xml:space="preserve">are surface tensions, and </w:t>
      </w:r>
      <w:r w:rsidRPr="008033E5">
        <w:rPr>
          <w:i/>
          <w:sz w:val="24"/>
          <w:szCs w:val="24"/>
        </w:rPr>
        <w:t>σ</w:t>
      </w:r>
      <w:r>
        <w:rPr>
          <w:i/>
          <w:sz w:val="24"/>
          <w:szCs w:val="24"/>
          <w:vertAlign w:val="subscript"/>
        </w:rPr>
        <w:t>interface</w:t>
      </w:r>
      <w:r w:rsidR="00E322AA">
        <w:rPr>
          <w:sz w:val="24"/>
          <w:szCs w:val="24"/>
        </w:rPr>
        <w:t xml:space="preserve"> </w:t>
      </w:r>
      <w:r w:rsidR="00D37782">
        <w:rPr>
          <w:sz w:val="24"/>
          <w:szCs w:val="24"/>
        </w:rPr>
        <w:t xml:space="preserve">is the interfacial surface </w:t>
      </w:r>
      <w:r w:rsidR="002947BB">
        <w:rPr>
          <w:sz w:val="24"/>
          <w:szCs w:val="24"/>
        </w:rPr>
        <w:t xml:space="preserve">tension between </w:t>
      </w:r>
      <w:r w:rsidR="000E29AE">
        <w:rPr>
          <w:sz w:val="24"/>
          <w:szCs w:val="24"/>
        </w:rPr>
        <w:t>cyclohexane</w:t>
      </w:r>
      <w:r w:rsidR="00FC437C">
        <w:rPr>
          <w:sz w:val="24"/>
          <w:szCs w:val="24"/>
        </w:rPr>
        <w:t xml:space="preserve"> </w:t>
      </w:r>
      <w:r w:rsidR="002947BB">
        <w:rPr>
          <w:sz w:val="24"/>
          <w:szCs w:val="24"/>
        </w:rPr>
        <w:t xml:space="preserve">and the foam solution. </w:t>
      </w:r>
      <w:r w:rsidR="00E322AA">
        <w:rPr>
          <w:sz w:val="24"/>
          <w:szCs w:val="24"/>
        </w:rPr>
        <w:t>A positive</w:t>
      </w:r>
      <w:r>
        <w:rPr>
          <w:sz w:val="24"/>
          <w:szCs w:val="24"/>
        </w:rPr>
        <w:t xml:space="preserve"> spreading coefficient </w:t>
      </w:r>
      <w:r w:rsidR="00D37782">
        <w:rPr>
          <w:sz w:val="24"/>
          <w:szCs w:val="24"/>
        </w:rPr>
        <w:t>i</w:t>
      </w:r>
      <w:r w:rsidR="00E63DAC">
        <w:rPr>
          <w:sz w:val="24"/>
          <w:szCs w:val="24"/>
        </w:rPr>
        <w:t>s needed for</w:t>
      </w:r>
      <w:r w:rsidR="002947BB">
        <w:rPr>
          <w:sz w:val="24"/>
          <w:szCs w:val="24"/>
        </w:rPr>
        <w:t xml:space="preserve"> film formation</w:t>
      </w:r>
      <w:r>
        <w:rPr>
          <w:sz w:val="24"/>
          <w:szCs w:val="24"/>
        </w:rPr>
        <w:t>;</w:t>
      </w:r>
      <w:r w:rsidR="008B103D">
        <w:rPr>
          <w:sz w:val="24"/>
          <w:szCs w:val="24"/>
        </w:rPr>
        <w:t xml:space="preserve"> </w:t>
      </w:r>
      <w:r w:rsidR="008B103D" w:rsidRPr="008B103D">
        <w:rPr>
          <w:sz w:val="24"/>
          <w:szCs w:val="24"/>
        </w:rPr>
        <w:t>MIL-F-24385F</w:t>
      </w:r>
      <w:r w:rsidR="00D37782">
        <w:rPr>
          <w:sz w:val="24"/>
          <w:szCs w:val="24"/>
        </w:rPr>
        <w:t xml:space="preserve"> </w:t>
      </w:r>
      <w:r>
        <w:rPr>
          <w:sz w:val="24"/>
          <w:szCs w:val="24"/>
        </w:rPr>
        <w:t>requires t</w:t>
      </w:r>
      <w:r w:rsidR="00D37782">
        <w:rPr>
          <w:sz w:val="24"/>
          <w:szCs w:val="24"/>
        </w:rPr>
        <w:t>he spreading coefficient be greater than 3.</w:t>
      </w:r>
    </w:p>
    <w:p w14:paraId="02AEF945" w14:textId="7A955949" w:rsidR="00D37782" w:rsidRDefault="00146FB7" w:rsidP="00D37782">
      <w:pPr>
        <w:jc w:val="center"/>
        <w:rPr>
          <w:sz w:val="24"/>
          <w:szCs w:val="24"/>
        </w:rPr>
      </w:pPr>
      <w:r>
        <w:rPr>
          <w:noProof/>
        </w:rPr>
        <w:drawing>
          <wp:inline distT="0" distB="0" distL="0" distR="0" wp14:anchorId="4E8F2E32" wp14:editId="6848FA76">
            <wp:extent cx="3365500" cy="171699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43655" cy="1756866"/>
                    </a:xfrm>
                    <a:prstGeom prst="rect">
                      <a:avLst/>
                    </a:prstGeom>
                  </pic:spPr>
                </pic:pic>
              </a:graphicData>
            </a:graphic>
          </wp:inline>
        </w:drawing>
      </w:r>
    </w:p>
    <w:p w14:paraId="0D9D6E16" w14:textId="7EAEBB76" w:rsidR="00D37782" w:rsidRDefault="00D37782" w:rsidP="00BB1D4C">
      <w:pPr>
        <w:spacing w:before="120" w:after="120"/>
        <w:jc w:val="center"/>
        <w:rPr>
          <w:sz w:val="24"/>
          <w:szCs w:val="24"/>
        </w:rPr>
      </w:pPr>
      <w:r>
        <w:rPr>
          <w:sz w:val="24"/>
          <w:szCs w:val="24"/>
        </w:rPr>
        <w:t xml:space="preserve">Figure 1. Diagram of </w:t>
      </w:r>
      <w:r w:rsidR="00D54E17">
        <w:rPr>
          <w:sz w:val="24"/>
          <w:szCs w:val="24"/>
        </w:rPr>
        <w:t xml:space="preserve">in-lab </w:t>
      </w:r>
      <w:r>
        <w:rPr>
          <w:sz w:val="24"/>
          <w:szCs w:val="24"/>
        </w:rPr>
        <w:t xml:space="preserve">foam generation method. </w:t>
      </w:r>
    </w:p>
    <w:p w14:paraId="6B95074D" w14:textId="0535F082" w:rsidR="00154294" w:rsidRDefault="00905CC0" w:rsidP="00D54E17">
      <w:pPr>
        <w:spacing w:before="120" w:after="120"/>
        <w:ind w:firstLine="360"/>
        <w:rPr>
          <w:color w:val="000000" w:themeColor="text1"/>
          <w:sz w:val="24"/>
          <w:szCs w:val="24"/>
        </w:rPr>
      </w:pPr>
      <w:r>
        <w:rPr>
          <w:sz w:val="24"/>
          <w:szCs w:val="24"/>
        </w:rPr>
        <w:t xml:space="preserve">Figure 1 shows a foam generator consisting of a plastic container filled with </w:t>
      </w:r>
      <w:r w:rsidR="00D37782">
        <w:rPr>
          <w:sz w:val="24"/>
          <w:szCs w:val="24"/>
        </w:rPr>
        <w:t>375 mL of foam solution</w:t>
      </w:r>
      <w:r>
        <w:rPr>
          <w:sz w:val="24"/>
          <w:szCs w:val="24"/>
        </w:rPr>
        <w:t xml:space="preserve">, </w:t>
      </w:r>
      <w:r w:rsidR="00D37782">
        <w:rPr>
          <w:sz w:val="24"/>
          <w:szCs w:val="24"/>
        </w:rPr>
        <w:t>a porous sparge</w:t>
      </w:r>
      <w:r w:rsidR="002947BB">
        <w:rPr>
          <w:sz w:val="24"/>
          <w:szCs w:val="24"/>
        </w:rPr>
        <w:t xml:space="preserve">r </w:t>
      </w:r>
      <w:r w:rsidR="00945D7D">
        <w:rPr>
          <w:sz w:val="24"/>
          <w:szCs w:val="24"/>
        </w:rPr>
        <w:t>to form bubbles</w:t>
      </w:r>
      <w:r w:rsidR="007755F5">
        <w:rPr>
          <w:sz w:val="24"/>
          <w:szCs w:val="24"/>
        </w:rPr>
        <w:t xml:space="preserve"> </w:t>
      </w:r>
      <w:r w:rsidR="002947BB">
        <w:rPr>
          <w:sz w:val="24"/>
          <w:szCs w:val="24"/>
        </w:rPr>
        <w:t>(pore size 25-50</w:t>
      </w:r>
      <w:r w:rsidR="008B103D">
        <w:rPr>
          <w:sz w:val="24"/>
          <w:szCs w:val="24"/>
        </w:rPr>
        <w:t xml:space="preserve"> </w:t>
      </w:r>
      <w:r w:rsidR="002947BB">
        <w:rPr>
          <w:sz w:val="24"/>
          <w:szCs w:val="24"/>
        </w:rPr>
        <w:t xml:space="preserve">µm) </w:t>
      </w:r>
      <w:r>
        <w:rPr>
          <w:sz w:val="24"/>
          <w:szCs w:val="24"/>
        </w:rPr>
        <w:t xml:space="preserve">placed </w:t>
      </w:r>
      <w:r w:rsidR="002947BB">
        <w:rPr>
          <w:sz w:val="24"/>
          <w:szCs w:val="24"/>
        </w:rPr>
        <w:t xml:space="preserve">2 </w:t>
      </w:r>
      <w:r w:rsidR="00D37782">
        <w:rPr>
          <w:sz w:val="24"/>
          <w:szCs w:val="24"/>
        </w:rPr>
        <w:t>cm from the bottom of the container</w:t>
      </w:r>
      <w:r>
        <w:rPr>
          <w:sz w:val="24"/>
          <w:szCs w:val="24"/>
        </w:rPr>
        <w:t>,</w:t>
      </w:r>
      <w:r w:rsidR="00D37782">
        <w:rPr>
          <w:sz w:val="24"/>
          <w:szCs w:val="24"/>
        </w:rPr>
        <w:t xml:space="preserve"> and </w:t>
      </w:r>
      <w:r w:rsidR="002947BB">
        <w:rPr>
          <w:sz w:val="24"/>
          <w:szCs w:val="24"/>
        </w:rPr>
        <w:t xml:space="preserve">a lid with a </w:t>
      </w:r>
      <w:r>
        <w:rPr>
          <w:sz w:val="24"/>
          <w:szCs w:val="24"/>
        </w:rPr>
        <w:t xml:space="preserve">plastic </w:t>
      </w:r>
      <w:r w:rsidR="00146FB7">
        <w:rPr>
          <w:sz w:val="24"/>
          <w:szCs w:val="24"/>
        </w:rPr>
        <w:t>dispensing nozzle</w:t>
      </w:r>
      <w:r w:rsidR="002947BB">
        <w:rPr>
          <w:sz w:val="24"/>
          <w:szCs w:val="24"/>
        </w:rPr>
        <w:t xml:space="preserve">, 2 </w:t>
      </w:r>
      <w:r w:rsidR="00D37782">
        <w:rPr>
          <w:sz w:val="24"/>
          <w:szCs w:val="24"/>
        </w:rPr>
        <w:t>cm in diameter</w:t>
      </w:r>
      <w:r w:rsidR="00D54E17">
        <w:rPr>
          <w:sz w:val="24"/>
          <w:szCs w:val="24"/>
        </w:rPr>
        <w:t xml:space="preserve"> [8</w:t>
      </w:r>
      <w:r w:rsidR="00F6401A">
        <w:rPr>
          <w:sz w:val="24"/>
          <w:szCs w:val="24"/>
        </w:rPr>
        <w:t>]</w:t>
      </w:r>
      <w:r w:rsidR="00D37782">
        <w:rPr>
          <w:sz w:val="24"/>
          <w:szCs w:val="24"/>
        </w:rPr>
        <w:t>. Nitrogen flow</w:t>
      </w:r>
      <w:r w:rsidR="00764D37">
        <w:rPr>
          <w:sz w:val="24"/>
          <w:szCs w:val="24"/>
        </w:rPr>
        <w:t>s</w:t>
      </w:r>
      <w:r w:rsidR="00D37782">
        <w:rPr>
          <w:sz w:val="24"/>
          <w:szCs w:val="24"/>
        </w:rPr>
        <w:t xml:space="preserve"> through a flow controller </w:t>
      </w:r>
      <w:r w:rsidR="00D37782" w:rsidRPr="00D37782">
        <w:rPr>
          <w:color w:val="000000" w:themeColor="text1"/>
          <w:sz w:val="24"/>
          <w:szCs w:val="24"/>
        </w:rPr>
        <w:t>(</w:t>
      </w:r>
      <w:r w:rsidR="00D54E17">
        <w:rPr>
          <w:color w:val="000000" w:themeColor="text1"/>
          <w:sz w:val="24"/>
          <w:szCs w:val="24"/>
        </w:rPr>
        <w:t>Sierra Instruments, Inc.</w:t>
      </w:r>
      <w:r w:rsidR="00D37782" w:rsidRPr="00D37782">
        <w:rPr>
          <w:color w:val="000000" w:themeColor="text1"/>
          <w:sz w:val="24"/>
          <w:szCs w:val="24"/>
        </w:rPr>
        <w:t>)</w:t>
      </w:r>
      <w:r w:rsidR="002947BB">
        <w:rPr>
          <w:color w:val="000000" w:themeColor="text1"/>
          <w:sz w:val="24"/>
          <w:szCs w:val="24"/>
        </w:rPr>
        <w:t xml:space="preserve"> to produce a foam flow rate of 500 mL/min</w:t>
      </w:r>
      <w:r w:rsidR="00D37782">
        <w:rPr>
          <w:color w:val="000000" w:themeColor="text1"/>
          <w:sz w:val="24"/>
          <w:szCs w:val="24"/>
        </w:rPr>
        <w:t xml:space="preserve">. </w:t>
      </w:r>
      <w:r w:rsidR="009F35C0">
        <w:rPr>
          <w:color w:val="000000" w:themeColor="text1"/>
          <w:sz w:val="24"/>
          <w:szCs w:val="24"/>
        </w:rPr>
        <w:t>Humidified nitrogen then flow</w:t>
      </w:r>
      <w:r w:rsidR="00764D37">
        <w:rPr>
          <w:color w:val="000000" w:themeColor="text1"/>
          <w:sz w:val="24"/>
          <w:szCs w:val="24"/>
        </w:rPr>
        <w:t>s</w:t>
      </w:r>
      <w:r w:rsidR="009F35C0">
        <w:rPr>
          <w:color w:val="000000" w:themeColor="text1"/>
          <w:sz w:val="24"/>
          <w:szCs w:val="24"/>
        </w:rPr>
        <w:t xml:space="preserve"> into the plastic container, bubbling nitrogen through the foam solution producing foam</w:t>
      </w:r>
      <w:r w:rsidR="00146FB7">
        <w:rPr>
          <w:color w:val="000000" w:themeColor="text1"/>
          <w:sz w:val="24"/>
          <w:szCs w:val="24"/>
        </w:rPr>
        <w:t xml:space="preserve"> </w:t>
      </w:r>
      <w:r w:rsidR="00764D37">
        <w:rPr>
          <w:color w:val="000000" w:themeColor="text1"/>
          <w:sz w:val="24"/>
          <w:szCs w:val="24"/>
        </w:rPr>
        <w:t>which</w:t>
      </w:r>
      <w:r w:rsidR="009F35C0">
        <w:rPr>
          <w:color w:val="000000" w:themeColor="text1"/>
          <w:sz w:val="24"/>
          <w:szCs w:val="24"/>
        </w:rPr>
        <w:t xml:space="preserve"> </w:t>
      </w:r>
      <w:r w:rsidR="00B27133">
        <w:rPr>
          <w:color w:val="000000" w:themeColor="text1"/>
          <w:sz w:val="24"/>
          <w:szCs w:val="24"/>
        </w:rPr>
        <w:t>i</w:t>
      </w:r>
      <w:r w:rsidR="009F35C0">
        <w:rPr>
          <w:color w:val="000000" w:themeColor="text1"/>
          <w:sz w:val="24"/>
          <w:szCs w:val="24"/>
        </w:rPr>
        <w:t xml:space="preserve">s then dispensed through the outlet nozzle. </w:t>
      </w:r>
    </w:p>
    <w:p w14:paraId="4F46067D" w14:textId="72FD48BB" w:rsidR="009F35C0" w:rsidRDefault="009F35C0" w:rsidP="00154294">
      <w:pPr>
        <w:spacing w:before="120" w:after="120"/>
        <w:ind w:firstLine="360"/>
        <w:rPr>
          <w:color w:val="000000" w:themeColor="text1"/>
          <w:sz w:val="24"/>
          <w:szCs w:val="24"/>
        </w:rPr>
      </w:pPr>
      <w:r>
        <w:rPr>
          <w:color w:val="000000" w:themeColor="text1"/>
          <w:sz w:val="24"/>
          <w:szCs w:val="24"/>
        </w:rPr>
        <w:t xml:space="preserve">The foams were characterized by initial expansion ratio, initial bubble diameter, and </w:t>
      </w:r>
      <w:r w:rsidR="002947BB">
        <w:rPr>
          <w:color w:val="000000" w:themeColor="text1"/>
          <w:sz w:val="24"/>
          <w:szCs w:val="24"/>
        </w:rPr>
        <w:t xml:space="preserve">25% liquid drainage time </w:t>
      </w:r>
      <w:r w:rsidR="00F02110">
        <w:rPr>
          <w:color w:val="000000" w:themeColor="text1"/>
          <w:sz w:val="24"/>
          <w:szCs w:val="24"/>
        </w:rPr>
        <w:t>(time</w:t>
      </w:r>
      <w:r w:rsidR="00905CC0">
        <w:rPr>
          <w:color w:val="000000" w:themeColor="text1"/>
          <w:sz w:val="24"/>
          <w:szCs w:val="24"/>
        </w:rPr>
        <w:t xml:space="preserve"> for 25% of the liquid contained in the foam </w:t>
      </w:r>
      <w:r w:rsidR="00273A0C">
        <w:rPr>
          <w:color w:val="000000" w:themeColor="text1"/>
          <w:sz w:val="24"/>
          <w:szCs w:val="24"/>
        </w:rPr>
        <w:t xml:space="preserve">to </w:t>
      </w:r>
      <w:r w:rsidR="00905CC0">
        <w:rPr>
          <w:color w:val="000000" w:themeColor="text1"/>
          <w:sz w:val="24"/>
          <w:szCs w:val="24"/>
        </w:rPr>
        <w:t xml:space="preserve">drain out) </w:t>
      </w:r>
      <w:r w:rsidR="002947BB">
        <w:rPr>
          <w:color w:val="000000" w:themeColor="text1"/>
          <w:sz w:val="24"/>
          <w:szCs w:val="24"/>
        </w:rPr>
        <w:t>from the foam</w:t>
      </w:r>
      <w:r>
        <w:rPr>
          <w:color w:val="000000" w:themeColor="text1"/>
          <w:sz w:val="24"/>
          <w:szCs w:val="24"/>
        </w:rPr>
        <w:t>. The expansion ratio</w:t>
      </w:r>
      <w:r w:rsidR="00D836F0">
        <w:rPr>
          <w:color w:val="000000" w:themeColor="text1"/>
          <w:sz w:val="24"/>
          <w:szCs w:val="24"/>
        </w:rPr>
        <w:t>, which describes the liquid content of the foam,</w:t>
      </w:r>
      <w:r>
        <w:rPr>
          <w:color w:val="000000" w:themeColor="text1"/>
          <w:sz w:val="24"/>
          <w:szCs w:val="24"/>
        </w:rPr>
        <w:t xml:space="preserve"> was measured by weighing 250 mL of fr</w:t>
      </w:r>
      <w:r w:rsidR="002947BB">
        <w:rPr>
          <w:color w:val="000000" w:themeColor="text1"/>
          <w:sz w:val="24"/>
          <w:szCs w:val="24"/>
        </w:rPr>
        <w:t>eshly generated foam and dividing</w:t>
      </w:r>
      <w:r w:rsidR="00273A0C">
        <w:rPr>
          <w:color w:val="000000" w:themeColor="text1"/>
          <w:sz w:val="24"/>
          <w:szCs w:val="24"/>
        </w:rPr>
        <w:t xml:space="preserve"> the volume of foam by the volume of water in the foam (weight of the foam multiplied by density of water)</w:t>
      </w:r>
      <w:r w:rsidR="008B103D">
        <w:rPr>
          <w:color w:val="000000" w:themeColor="text1"/>
          <w:sz w:val="24"/>
          <w:szCs w:val="24"/>
        </w:rPr>
        <w:t xml:space="preserve">. </w:t>
      </w:r>
      <w:r w:rsidR="008B103D" w:rsidRPr="008B103D">
        <w:rPr>
          <w:color w:val="000000" w:themeColor="text1"/>
          <w:sz w:val="24"/>
          <w:szCs w:val="24"/>
        </w:rPr>
        <w:t>MIL-F-24385F</w:t>
      </w:r>
      <w:r w:rsidR="008B103D">
        <w:rPr>
          <w:color w:val="000000" w:themeColor="text1"/>
          <w:sz w:val="24"/>
          <w:szCs w:val="24"/>
        </w:rPr>
        <w:t xml:space="preserve"> </w:t>
      </w:r>
      <w:r>
        <w:rPr>
          <w:color w:val="000000" w:themeColor="text1"/>
          <w:sz w:val="24"/>
          <w:szCs w:val="24"/>
        </w:rPr>
        <w:t xml:space="preserve">requires an expansion ratio between 5 and 10. The bubble diameter was measured by taking a picture of </w:t>
      </w:r>
      <w:r>
        <w:rPr>
          <w:color w:val="000000" w:themeColor="text1"/>
          <w:sz w:val="24"/>
          <w:szCs w:val="24"/>
        </w:rPr>
        <w:lastRenderedPageBreak/>
        <w:t>freshly genera</w:t>
      </w:r>
      <w:r w:rsidR="00F35123">
        <w:rPr>
          <w:color w:val="000000" w:themeColor="text1"/>
          <w:sz w:val="24"/>
          <w:szCs w:val="24"/>
        </w:rPr>
        <w:t>ted foam</w:t>
      </w:r>
      <w:r>
        <w:rPr>
          <w:color w:val="000000" w:themeColor="text1"/>
          <w:sz w:val="24"/>
          <w:szCs w:val="24"/>
        </w:rPr>
        <w:t xml:space="preserve"> and using Image-J to measure the diameter of 300 bubbl</w:t>
      </w:r>
      <w:r w:rsidR="00F35123">
        <w:rPr>
          <w:color w:val="000000" w:themeColor="text1"/>
          <w:sz w:val="24"/>
          <w:szCs w:val="24"/>
        </w:rPr>
        <w:t>es. The 25% liquid drainage time</w:t>
      </w:r>
      <w:r w:rsidR="00273A0C">
        <w:rPr>
          <w:color w:val="000000" w:themeColor="text1"/>
          <w:sz w:val="24"/>
          <w:szCs w:val="24"/>
        </w:rPr>
        <w:t xml:space="preserve"> was measured by</w:t>
      </w:r>
      <w:r w:rsidR="00905CC0">
        <w:rPr>
          <w:color w:val="000000" w:themeColor="text1"/>
          <w:sz w:val="24"/>
          <w:szCs w:val="24"/>
        </w:rPr>
        <w:t xml:space="preserve"> recording</w:t>
      </w:r>
      <w:r>
        <w:rPr>
          <w:color w:val="000000" w:themeColor="text1"/>
          <w:sz w:val="24"/>
          <w:szCs w:val="24"/>
        </w:rPr>
        <w:t xml:space="preserve"> foam i</w:t>
      </w:r>
      <w:r w:rsidR="00F02110">
        <w:rPr>
          <w:color w:val="000000" w:themeColor="text1"/>
          <w:sz w:val="24"/>
          <w:szCs w:val="24"/>
        </w:rPr>
        <w:t>n a graduated cylinder</w:t>
      </w:r>
      <w:r>
        <w:rPr>
          <w:color w:val="000000" w:themeColor="text1"/>
          <w:sz w:val="24"/>
          <w:szCs w:val="24"/>
        </w:rPr>
        <w:t xml:space="preserve"> and measuring the volume of liquid collected at the bottom o</w:t>
      </w:r>
      <w:r w:rsidR="008B103D">
        <w:rPr>
          <w:color w:val="000000" w:themeColor="text1"/>
          <w:sz w:val="24"/>
          <w:szCs w:val="24"/>
        </w:rPr>
        <w:t xml:space="preserve">f the cylinder over time. </w:t>
      </w:r>
      <w:r w:rsidR="008B103D" w:rsidRPr="008B103D">
        <w:rPr>
          <w:color w:val="000000" w:themeColor="text1"/>
          <w:sz w:val="24"/>
          <w:szCs w:val="24"/>
        </w:rPr>
        <w:t>MIL-F-24385F</w:t>
      </w:r>
      <w:r w:rsidR="008B103D">
        <w:rPr>
          <w:color w:val="000000" w:themeColor="text1"/>
          <w:sz w:val="24"/>
          <w:szCs w:val="24"/>
        </w:rPr>
        <w:t xml:space="preserve"> specifies that foam</w:t>
      </w:r>
      <w:r>
        <w:rPr>
          <w:color w:val="000000" w:themeColor="text1"/>
          <w:sz w:val="24"/>
          <w:szCs w:val="24"/>
        </w:rPr>
        <w:t xml:space="preserve"> have a 25% drain time over 150 seconds. </w:t>
      </w:r>
    </w:p>
    <w:p w14:paraId="4C73CA71" w14:textId="287F6E1A" w:rsidR="00B12372" w:rsidRDefault="009F35C0" w:rsidP="00BB1D4C">
      <w:pPr>
        <w:spacing w:before="120" w:after="120"/>
        <w:ind w:firstLine="360"/>
        <w:rPr>
          <w:color w:val="000000" w:themeColor="text1"/>
          <w:sz w:val="24"/>
          <w:szCs w:val="24"/>
        </w:rPr>
      </w:pPr>
      <w:r>
        <w:rPr>
          <w:color w:val="000000" w:themeColor="text1"/>
          <w:sz w:val="24"/>
          <w:szCs w:val="24"/>
        </w:rPr>
        <w:t>Foam degradation was measured by monitoring the volume of foam above heated n-heptane over time. 60 mL of pre-heated n-heptane was poured into a beaker</w:t>
      </w:r>
      <w:r w:rsidR="00273A0C">
        <w:rPr>
          <w:color w:val="000000" w:themeColor="text1"/>
          <w:sz w:val="24"/>
          <w:szCs w:val="24"/>
        </w:rPr>
        <w:t>, 4.5 cm in diameter</w:t>
      </w:r>
      <w:r>
        <w:rPr>
          <w:color w:val="000000" w:themeColor="text1"/>
          <w:sz w:val="24"/>
          <w:szCs w:val="24"/>
        </w:rPr>
        <w:t>. Heating tape was coiled around the beaker, up to the 60 mL mar</w:t>
      </w:r>
      <w:r w:rsidR="001107BE">
        <w:rPr>
          <w:color w:val="000000" w:themeColor="text1"/>
          <w:sz w:val="24"/>
          <w:szCs w:val="24"/>
        </w:rPr>
        <w:t xml:space="preserve">k, to maintain temperature and </w:t>
      </w:r>
      <w:r>
        <w:rPr>
          <w:color w:val="000000" w:themeColor="text1"/>
          <w:sz w:val="24"/>
          <w:szCs w:val="24"/>
        </w:rPr>
        <w:t xml:space="preserve">ensure that </w:t>
      </w:r>
      <w:r w:rsidR="001107BE">
        <w:rPr>
          <w:color w:val="000000" w:themeColor="text1"/>
          <w:sz w:val="24"/>
          <w:szCs w:val="24"/>
        </w:rPr>
        <w:t xml:space="preserve">only the fuel was being heated. </w:t>
      </w:r>
      <w:r w:rsidR="009A64AA">
        <w:rPr>
          <w:color w:val="000000" w:themeColor="text1"/>
          <w:sz w:val="24"/>
          <w:szCs w:val="24"/>
        </w:rPr>
        <w:t>Foam was generated onto the fuel surface and the</w:t>
      </w:r>
      <w:r w:rsidR="001107BE">
        <w:rPr>
          <w:color w:val="000000" w:themeColor="text1"/>
          <w:sz w:val="24"/>
          <w:szCs w:val="24"/>
        </w:rPr>
        <w:t xml:space="preserve"> foam volume </w:t>
      </w:r>
      <w:r w:rsidR="009A64AA">
        <w:rPr>
          <w:color w:val="000000" w:themeColor="text1"/>
          <w:sz w:val="24"/>
          <w:szCs w:val="24"/>
        </w:rPr>
        <w:t xml:space="preserve">was then </w:t>
      </w:r>
      <w:r w:rsidR="001107BE">
        <w:rPr>
          <w:color w:val="000000" w:themeColor="text1"/>
          <w:sz w:val="24"/>
          <w:szCs w:val="24"/>
        </w:rPr>
        <w:t>recorded</w:t>
      </w:r>
      <w:r w:rsidR="009A64AA">
        <w:rPr>
          <w:color w:val="000000" w:themeColor="text1"/>
          <w:sz w:val="24"/>
          <w:szCs w:val="24"/>
        </w:rPr>
        <w:t xml:space="preserve"> over time. The foam volume</w:t>
      </w:r>
      <w:r w:rsidR="001107BE">
        <w:rPr>
          <w:color w:val="000000" w:themeColor="text1"/>
          <w:sz w:val="24"/>
          <w:szCs w:val="24"/>
        </w:rPr>
        <w:t xml:space="preserve"> is inclusive of any large</w:t>
      </w:r>
      <w:r w:rsidR="009A64AA">
        <w:rPr>
          <w:color w:val="000000" w:themeColor="text1"/>
          <w:sz w:val="24"/>
          <w:szCs w:val="24"/>
        </w:rPr>
        <w:t xml:space="preserve"> bubble </w:t>
      </w:r>
      <w:r w:rsidR="000E29AE">
        <w:rPr>
          <w:color w:val="000000" w:themeColor="text1"/>
          <w:sz w:val="24"/>
          <w:szCs w:val="24"/>
        </w:rPr>
        <w:t>that sp</w:t>
      </w:r>
      <w:r w:rsidR="00273A0C">
        <w:rPr>
          <w:color w:val="000000" w:themeColor="text1"/>
          <w:sz w:val="24"/>
          <w:szCs w:val="24"/>
        </w:rPr>
        <w:t>an</w:t>
      </w:r>
      <w:r w:rsidR="000E29AE">
        <w:rPr>
          <w:color w:val="000000" w:themeColor="text1"/>
          <w:sz w:val="24"/>
          <w:szCs w:val="24"/>
        </w:rPr>
        <w:t xml:space="preserve"> across the entire fuel surface </w:t>
      </w:r>
      <w:r w:rsidR="009A64AA">
        <w:rPr>
          <w:color w:val="000000" w:themeColor="text1"/>
          <w:sz w:val="24"/>
          <w:szCs w:val="24"/>
        </w:rPr>
        <w:t>or “gap” that form</w:t>
      </w:r>
      <w:r w:rsidR="002E330A">
        <w:rPr>
          <w:color w:val="000000" w:themeColor="text1"/>
          <w:sz w:val="24"/>
          <w:szCs w:val="24"/>
        </w:rPr>
        <w:t>s</w:t>
      </w:r>
      <w:r w:rsidR="009A64AA">
        <w:rPr>
          <w:color w:val="000000" w:themeColor="text1"/>
          <w:sz w:val="24"/>
          <w:szCs w:val="24"/>
        </w:rPr>
        <w:t xml:space="preserve"> between the foam-</w:t>
      </w:r>
      <w:r w:rsidR="001107BE">
        <w:rPr>
          <w:color w:val="000000" w:themeColor="text1"/>
          <w:sz w:val="24"/>
          <w:szCs w:val="24"/>
        </w:rPr>
        <w:t>fuel interface, leading to values over</w:t>
      </w:r>
      <w:r w:rsidR="00273A0C">
        <w:rPr>
          <w:color w:val="000000" w:themeColor="text1"/>
          <w:sz w:val="24"/>
          <w:szCs w:val="24"/>
        </w:rPr>
        <w:t xml:space="preserve"> 100% for changes in foam layer thickness</w:t>
      </w:r>
      <w:r w:rsidR="001107BE">
        <w:rPr>
          <w:color w:val="000000" w:themeColor="text1"/>
          <w:sz w:val="24"/>
          <w:szCs w:val="24"/>
        </w:rPr>
        <w:t xml:space="preserve">. </w:t>
      </w:r>
    </w:p>
    <w:p w14:paraId="633296DD" w14:textId="77777777" w:rsidR="004B0DF8" w:rsidRDefault="009A64AA" w:rsidP="00BB1D4C">
      <w:pPr>
        <w:spacing w:before="120" w:after="120"/>
        <w:ind w:firstLine="360"/>
        <w:rPr>
          <w:color w:val="000000" w:themeColor="text1"/>
          <w:sz w:val="24"/>
          <w:szCs w:val="24"/>
        </w:rPr>
      </w:pPr>
      <w:r>
        <w:rPr>
          <w:color w:val="000000" w:themeColor="text1"/>
          <w:sz w:val="24"/>
          <w:szCs w:val="24"/>
        </w:rPr>
        <w:t>Fire extinction,</w:t>
      </w:r>
      <w:r w:rsidR="00D51429">
        <w:rPr>
          <w:color w:val="000000" w:themeColor="text1"/>
          <w:sz w:val="24"/>
          <w:szCs w:val="24"/>
        </w:rPr>
        <w:t xml:space="preserve"> burn</w:t>
      </w:r>
      <w:r w:rsidR="00F02110">
        <w:rPr>
          <w:color w:val="000000" w:themeColor="text1"/>
          <w:sz w:val="24"/>
          <w:szCs w:val="24"/>
        </w:rPr>
        <w:t>-</w:t>
      </w:r>
      <w:r w:rsidR="00D51429">
        <w:rPr>
          <w:color w:val="000000" w:themeColor="text1"/>
          <w:sz w:val="24"/>
          <w:szCs w:val="24"/>
        </w:rPr>
        <w:t>back performance</w:t>
      </w:r>
      <w:r w:rsidR="002947BB">
        <w:rPr>
          <w:color w:val="000000" w:themeColor="text1"/>
          <w:sz w:val="24"/>
          <w:szCs w:val="24"/>
        </w:rPr>
        <w:t>, and the film and seal test</w:t>
      </w:r>
      <w:r w:rsidR="00BB1D4C">
        <w:rPr>
          <w:color w:val="000000" w:themeColor="text1"/>
          <w:sz w:val="24"/>
          <w:szCs w:val="24"/>
        </w:rPr>
        <w:t xml:space="preserve"> were conducted</w:t>
      </w:r>
      <w:r w:rsidR="00D51429">
        <w:rPr>
          <w:color w:val="000000" w:themeColor="text1"/>
          <w:sz w:val="24"/>
          <w:szCs w:val="24"/>
        </w:rPr>
        <w:t xml:space="preserve"> using a 28 ft</w:t>
      </w:r>
      <w:r w:rsidR="00D51429">
        <w:rPr>
          <w:color w:val="000000" w:themeColor="text1"/>
          <w:sz w:val="24"/>
          <w:szCs w:val="24"/>
          <w:vertAlign w:val="superscript"/>
        </w:rPr>
        <w:t>2</w:t>
      </w:r>
      <w:r>
        <w:rPr>
          <w:color w:val="000000" w:themeColor="text1"/>
          <w:sz w:val="24"/>
          <w:szCs w:val="24"/>
        </w:rPr>
        <w:t xml:space="preserve"> pool</w:t>
      </w:r>
      <w:r w:rsidR="00187849">
        <w:rPr>
          <w:color w:val="000000" w:themeColor="text1"/>
          <w:sz w:val="24"/>
          <w:szCs w:val="24"/>
        </w:rPr>
        <w:t xml:space="preserve"> fire</w:t>
      </w:r>
      <w:r>
        <w:rPr>
          <w:color w:val="000000" w:themeColor="text1"/>
          <w:sz w:val="24"/>
          <w:szCs w:val="24"/>
        </w:rPr>
        <w:t xml:space="preserve"> detailed in </w:t>
      </w:r>
      <w:r w:rsidRPr="009A64AA">
        <w:rPr>
          <w:color w:val="000000" w:themeColor="text1"/>
          <w:sz w:val="24"/>
          <w:szCs w:val="24"/>
        </w:rPr>
        <w:t>MIL-F-24385F</w:t>
      </w:r>
      <w:r w:rsidR="00D51429">
        <w:rPr>
          <w:color w:val="000000" w:themeColor="text1"/>
          <w:sz w:val="24"/>
          <w:szCs w:val="24"/>
        </w:rPr>
        <w:t xml:space="preserve">. </w:t>
      </w:r>
      <w:r w:rsidR="00D5597B">
        <w:rPr>
          <w:color w:val="000000" w:themeColor="text1"/>
          <w:sz w:val="24"/>
          <w:szCs w:val="24"/>
        </w:rPr>
        <w:t>Fire suppression criteria is</w:t>
      </w:r>
      <w:r w:rsidR="00842682">
        <w:rPr>
          <w:color w:val="000000" w:themeColor="text1"/>
          <w:sz w:val="24"/>
          <w:szCs w:val="24"/>
        </w:rPr>
        <w:t xml:space="preserve"> extinction under 30 seconds and burn</w:t>
      </w:r>
      <w:r w:rsidR="00F02110">
        <w:rPr>
          <w:color w:val="000000" w:themeColor="text1"/>
          <w:sz w:val="24"/>
          <w:szCs w:val="24"/>
        </w:rPr>
        <w:t>-</w:t>
      </w:r>
      <w:r w:rsidR="00842682">
        <w:rPr>
          <w:color w:val="000000" w:themeColor="text1"/>
          <w:sz w:val="24"/>
          <w:szCs w:val="24"/>
        </w:rPr>
        <w:t xml:space="preserve">back lasting over 360 seconds. </w:t>
      </w:r>
      <w:r w:rsidR="00F6401A">
        <w:rPr>
          <w:color w:val="000000" w:themeColor="text1"/>
          <w:sz w:val="24"/>
          <w:szCs w:val="24"/>
        </w:rPr>
        <w:t>Burn</w:t>
      </w:r>
      <w:r w:rsidR="00F02110">
        <w:rPr>
          <w:color w:val="000000" w:themeColor="text1"/>
          <w:sz w:val="24"/>
          <w:szCs w:val="24"/>
        </w:rPr>
        <w:t>-</w:t>
      </w:r>
      <w:r w:rsidR="00F6401A">
        <w:rPr>
          <w:color w:val="000000" w:themeColor="text1"/>
          <w:sz w:val="24"/>
          <w:szCs w:val="24"/>
        </w:rPr>
        <w:t xml:space="preserve">back time is </w:t>
      </w:r>
      <w:r w:rsidR="00F02110">
        <w:rPr>
          <w:color w:val="000000" w:themeColor="text1"/>
          <w:sz w:val="24"/>
          <w:szCs w:val="24"/>
        </w:rPr>
        <w:t>the time</w:t>
      </w:r>
      <w:r w:rsidR="00F6401A">
        <w:rPr>
          <w:color w:val="000000" w:themeColor="text1"/>
          <w:sz w:val="24"/>
          <w:szCs w:val="24"/>
        </w:rPr>
        <w:t xml:space="preserve"> for a small fire placed on </w:t>
      </w:r>
      <w:r w:rsidR="00D54E17">
        <w:rPr>
          <w:color w:val="000000" w:themeColor="text1"/>
          <w:sz w:val="24"/>
          <w:szCs w:val="24"/>
        </w:rPr>
        <w:t>a</w:t>
      </w:r>
      <w:r w:rsidR="00F6401A">
        <w:rPr>
          <w:color w:val="000000" w:themeColor="text1"/>
          <w:sz w:val="24"/>
          <w:szCs w:val="24"/>
        </w:rPr>
        <w:t xml:space="preserve"> foam covered pool to spread </w:t>
      </w:r>
      <w:r w:rsidR="00D54E17">
        <w:rPr>
          <w:color w:val="000000" w:themeColor="text1"/>
          <w:sz w:val="24"/>
          <w:szCs w:val="24"/>
        </w:rPr>
        <w:t xml:space="preserve">to </w:t>
      </w:r>
      <w:r w:rsidR="00F6401A">
        <w:rPr>
          <w:color w:val="000000" w:themeColor="text1"/>
          <w:sz w:val="24"/>
          <w:szCs w:val="24"/>
        </w:rPr>
        <w:t xml:space="preserve">25% of </w:t>
      </w:r>
      <w:r w:rsidR="00D54E17">
        <w:rPr>
          <w:color w:val="000000" w:themeColor="text1"/>
          <w:sz w:val="24"/>
          <w:szCs w:val="24"/>
        </w:rPr>
        <w:t xml:space="preserve">the pool </w:t>
      </w:r>
      <w:r w:rsidR="00F6401A">
        <w:rPr>
          <w:color w:val="000000" w:themeColor="text1"/>
          <w:sz w:val="24"/>
          <w:szCs w:val="24"/>
        </w:rPr>
        <w:t xml:space="preserve">area </w:t>
      </w:r>
      <w:r w:rsidR="00D54E17">
        <w:rPr>
          <w:color w:val="000000" w:themeColor="text1"/>
          <w:sz w:val="24"/>
          <w:szCs w:val="24"/>
        </w:rPr>
        <w:t>due to</w:t>
      </w:r>
      <w:r w:rsidR="00F6401A">
        <w:rPr>
          <w:color w:val="000000" w:themeColor="text1"/>
          <w:sz w:val="24"/>
          <w:szCs w:val="24"/>
        </w:rPr>
        <w:t xml:space="preserve"> degrad</w:t>
      </w:r>
      <w:r w:rsidR="00D54E17">
        <w:rPr>
          <w:color w:val="000000" w:themeColor="text1"/>
          <w:sz w:val="24"/>
          <w:szCs w:val="24"/>
        </w:rPr>
        <w:t>ation of</w:t>
      </w:r>
      <w:r w:rsidR="00F6401A">
        <w:rPr>
          <w:color w:val="000000" w:themeColor="text1"/>
          <w:sz w:val="24"/>
          <w:szCs w:val="24"/>
        </w:rPr>
        <w:t xml:space="preserve"> the foam. </w:t>
      </w:r>
      <w:r w:rsidR="002947BB">
        <w:rPr>
          <w:color w:val="000000" w:themeColor="text1"/>
          <w:sz w:val="24"/>
          <w:szCs w:val="24"/>
        </w:rPr>
        <w:t xml:space="preserve">The film and seal </w:t>
      </w:r>
      <w:r>
        <w:rPr>
          <w:color w:val="000000" w:themeColor="text1"/>
          <w:sz w:val="24"/>
          <w:szCs w:val="24"/>
        </w:rPr>
        <w:t xml:space="preserve">test </w:t>
      </w:r>
      <w:r w:rsidR="006235E9">
        <w:rPr>
          <w:color w:val="000000" w:themeColor="text1"/>
          <w:sz w:val="24"/>
          <w:szCs w:val="24"/>
        </w:rPr>
        <w:t xml:space="preserve">(pass/fail) </w:t>
      </w:r>
      <w:r w:rsidR="00D54E17">
        <w:rPr>
          <w:color w:val="000000" w:themeColor="text1"/>
          <w:sz w:val="24"/>
          <w:szCs w:val="24"/>
        </w:rPr>
        <w:t>determines</w:t>
      </w:r>
      <w:r w:rsidR="006235E9">
        <w:rPr>
          <w:color w:val="000000" w:themeColor="text1"/>
          <w:sz w:val="24"/>
          <w:szCs w:val="24"/>
        </w:rPr>
        <w:t xml:space="preserve"> </w:t>
      </w:r>
      <w:r w:rsidR="002947BB">
        <w:rPr>
          <w:color w:val="000000" w:themeColor="text1"/>
          <w:sz w:val="24"/>
          <w:szCs w:val="24"/>
        </w:rPr>
        <w:t xml:space="preserve">if a film forms </w:t>
      </w:r>
      <w:r>
        <w:rPr>
          <w:color w:val="000000" w:themeColor="text1"/>
          <w:sz w:val="24"/>
          <w:szCs w:val="24"/>
        </w:rPr>
        <w:t xml:space="preserve">over cyclohexane. </w:t>
      </w:r>
    </w:p>
    <w:p w14:paraId="112A3382" w14:textId="20B810B3" w:rsidR="004F7176" w:rsidRPr="00CC1AB5" w:rsidRDefault="009A64AA" w:rsidP="00BB1D4C">
      <w:pPr>
        <w:spacing w:before="120" w:after="120"/>
        <w:ind w:firstLine="360"/>
        <w:rPr>
          <w:sz w:val="24"/>
          <w:szCs w:val="24"/>
        </w:rPr>
      </w:pPr>
      <w:r>
        <w:rPr>
          <w:color w:val="000000" w:themeColor="text1"/>
          <w:sz w:val="24"/>
          <w:szCs w:val="24"/>
        </w:rPr>
        <w:t xml:space="preserve">Initial </w:t>
      </w:r>
      <w:r w:rsidR="00D51429">
        <w:rPr>
          <w:color w:val="000000" w:themeColor="text1"/>
          <w:sz w:val="24"/>
          <w:szCs w:val="24"/>
        </w:rPr>
        <w:t xml:space="preserve">expansion ratio, liquid drainage, and </w:t>
      </w:r>
      <w:r w:rsidR="002947BB">
        <w:rPr>
          <w:color w:val="000000" w:themeColor="text1"/>
          <w:sz w:val="24"/>
          <w:szCs w:val="24"/>
        </w:rPr>
        <w:t>initial bubble diameter were</w:t>
      </w:r>
      <w:r w:rsidR="00D51429">
        <w:rPr>
          <w:color w:val="000000" w:themeColor="text1"/>
          <w:sz w:val="24"/>
          <w:szCs w:val="24"/>
        </w:rPr>
        <w:t xml:space="preserve"> collected </w:t>
      </w:r>
      <w:r>
        <w:rPr>
          <w:color w:val="000000" w:themeColor="text1"/>
          <w:sz w:val="24"/>
          <w:szCs w:val="24"/>
        </w:rPr>
        <w:t xml:space="preserve">during </w:t>
      </w:r>
      <w:r w:rsidR="006235E9">
        <w:rPr>
          <w:color w:val="000000" w:themeColor="text1"/>
          <w:sz w:val="24"/>
          <w:szCs w:val="24"/>
        </w:rPr>
        <w:t>large-scale</w:t>
      </w:r>
      <w:r w:rsidR="00D54E17">
        <w:rPr>
          <w:color w:val="000000" w:themeColor="text1"/>
          <w:sz w:val="24"/>
          <w:szCs w:val="24"/>
        </w:rPr>
        <w:t xml:space="preserve"> MilSpec </w:t>
      </w:r>
      <w:r>
        <w:rPr>
          <w:color w:val="000000" w:themeColor="text1"/>
          <w:sz w:val="24"/>
          <w:szCs w:val="24"/>
        </w:rPr>
        <w:t xml:space="preserve">testing </w:t>
      </w:r>
      <w:r w:rsidR="00D51429">
        <w:rPr>
          <w:color w:val="000000" w:themeColor="text1"/>
          <w:sz w:val="24"/>
          <w:szCs w:val="24"/>
        </w:rPr>
        <w:t xml:space="preserve">to compare to </w:t>
      </w:r>
      <w:r w:rsidR="00D836F0">
        <w:rPr>
          <w:color w:val="000000" w:themeColor="text1"/>
          <w:sz w:val="24"/>
          <w:szCs w:val="24"/>
        </w:rPr>
        <w:t>in-</w:t>
      </w:r>
      <w:r w:rsidR="00D51429">
        <w:rPr>
          <w:color w:val="000000" w:themeColor="text1"/>
          <w:sz w:val="24"/>
          <w:szCs w:val="24"/>
        </w:rPr>
        <w:t xml:space="preserve">lab </w:t>
      </w:r>
      <w:r w:rsidR="006235E9">
        <w:rPr>
          <w:color w:val="000000" w:themeColor="text1"/>
          <w:sz w:val="24"/>
          <w:szCs w:val="24"/>
        </w:rPr>
        <w:t>results</w:t>
      </w:r>
      <w:r w:rsidR="00D51429">
        <w:rPr>
          <w:color w:val="000000" w:themeColor="text1"/>
          <w:sz w:val="24"/>
          <w:szCs w:val="24"/>
        </w:rPr>
        <w:t xml:space="preserve">. </w:t>
      </w:r>
      <w:r w:rsidR="004B0DF8">
        <w:rPr>
          <w:color w:val="000000" w:themeColor="text1"/>
          <w:sz w:val="24"/>
          <w:szCs w:val="24"/>
        </w:rPr>
        <w:t>We were only able to characterize and compare FomTec 3% commercial foam with the reference AFFF for MilSpec testing. We expect differences between in-lab generated National and FomTec to be relatively small, but these differences have not be quantified. MilSpec testing also uses</w:t>
      </w:r>
      <w:r w:rsidR="00D51429">
        <w:rPr>
          <w:color w:val="000000" w:themeColor="text1"/>
          <w:sz w:val="24"/>
          <w:szCs w:val="24"/>
        </w:rPr>
        <w:t xml:space="preserve"> an air aspirated nozzle to generate foam which may produce foam properties different from </w:t>
      </w:r>
      <w:r w:rsidR="00BB1D4C">
        <w:rPr>
          <w:color w:val="000000" w:themeColor="text1"/>
          <w:sz w:val="24"/>
          <w:szCs w:val="24"/>
        </w:rPr>
        <w:t>in-lab</w:t>
      </w:r>
      <w:r w:rsidR="00187849">
        <w:rPr>
          <w:color w:val="000000" w:themeColor="text1"/>
          <w:sz w:val="24"/>
          <w:szCs w:val="24"/>
        </w:rPr>
        <w:t xml:space="preserve"> results</w:t>
      </w:r>
      <w:r w:rsidR="00D51429">
        <w:rPr>
          <w:color w:val="000000" w:themeColor="text1"/>
          <w:sz w:val="24"/>
          <w:szCs w:val="24"/>
        </w:rPr>
        <w:t xml:space="preserve">. </w:t>
      </w:r>
      <w:r w:rsidR="004F7176">
        <w:rPr>
          <w:sz w:val="24"/>
          <w:szCs w:val="24"/>
        </w:rPr>
        <w:tab/>
      </w:r>
    </w:p>
    <w:p w14:paraId="1B06CFA1" w14:textId="77777777" w:rsidR="007A1B81" w:rsidRPr="007E5ABD" w:rsidRDefault="007A1B81" w:rsidP="00632E1E">
      <w:pPr>
        <w:pStyle w:val="BodyTextIndent2"/>
        <w:ind w:firstLine="0"/>
        <w:rPr>
          <w:color w:val="FF0000"/>
          <w:sz w:val="24"/>
          <w:szCs w:val="24"/>
        </w:rPr>
      </w:pPr>
    </w:p>
    <w:p w14:paraId="6F581F50" w14:textId="77777777" w:rsidR="00A61F50" w:rsidRPr="00BB1D4C" w:rsidRDefault="00A47E52" w:rsidP="00BB1D4C">
      <w:pPr>
        <w:pStyle w:val="BodyTextIndent2"/>
        <w:numPr>
          <w:ilvl w:val="0"/>
          <w:numId w:val="6"/>
        </w:numPr>
        <w:spacing w:before="120" w:after="120"/>
        <w:ind w:left="360"/>
        <w:rPr>
          <w:b/>
          <w:sz w:val="24"/>
          <w:szCs w:val="24"/>
        </w:rPr>
      </w:pPr>
      <w:r w:rsidRPr="007E5ABD">
        <w:rPr>
          <w:b/>
          <w:sz w:val="24"/>
          <w:szCs w:val="24"/>
        </w:rPr>
        <w:t>Results and Discussion</w:t>
      </w:r>
    </w:p>
    <w:p w14:paraId="22B63960" w14:textId="0BECB6EF" w:rsidR="004B26B8" w:rsidRDefault="00A61F50" w:rsidP="00DB052F">
      <w:pPr>
        <w:pStyle w:val="BodyTextIndent2"/>
        <w:spacing w:before="120" w:after="120"/>
        <w:ind w:left="90"/>
        <w:rPr>
          <w:sz w:val="24"/>
          <w:szCs w:val="24"/>
        </w:rPr>
      </w:pPr>
      <w:r>
        <w:rPr>
          <w:sz w:val="24"/>
          <w:szCs w:val="24"/>
        </w:rPr>
        <w:t xml:space="preserve">In order to produce a reference AFFF suitable for laboratory testing, the reference foam </w:t>
      </w:r>
      <w:bookmarkStart w:id="0" w:name="_GoBack"/>
      <w:bookmarkEnd w:id="0"/>
      <w:r>
        <w:rPr>
          <w:sz w:val="24"/>
          <w:szCs w:val="24"/>
        </w:rPr>
        <w:t>formulation</w:t>
      </w:r>
      <w:r w:rsidR="00273A0C">
        <w:rPr>
          <w:sz w:val="24"/>
          <w:szCs w:val="24"/>
        </w:rPr>
        <w:t xml:space="preserve"> was </w:t>
      </w:r>
      <w:r w:rsidR="006235E9">
        <w:rPr>
          <w:sz w:val="24"/>
          <w:szCs w:val="24"/>
        </w:rPr>
        <w:t>created</w:t>
      </w:r>
      <w:r w:rsidR="00273A0C">
        <w:rPr>
          <w:sz w:val="24"/>
          <w:szCs w:val="24"/>
        </w:rPr>
        <w:t xml:space="preserve"> by</w:t>
      </w:r>
      <w:r w:rsidR="00F35123">
        <w:rPr>
          <w:sz w:val="24"/>
          <w:szCs w:val="24"/>
        </w:rPr>
        <w:t xml:space="preserve"> match</w:t>
      </w:r>
      <w:r w:rsidR="00273A0C">
        <w:rPr>
          <w:sz w:val="24"/>
          <w:szCs w:val="24"/>
        </w:rPr>
        <w:t>ing</w:t>
      </w:r>
      <w:r>
        <w:rPr>
          <w:sz w:val="24"/>
          <w:szCs w:val="24"/>
        </w:rPr>
        <w:t xml:space="preserve"> pr</w:t>
      </w:r>
      <w:r w:rsidR="00F35123">
        <w:rPr>
          <w:sz w:val="24"/>
          <w:szCs w:val="24"/>
        </w:rPr>
        <w:t>operties of commercial AFFF</w:t>
      </w:r>
      <w:r>
        <w:rPr>
          <w:sz w:val="24"/>
          <w:szCs w:val="24"/>
        </w:rPr>
        <w:t xml:space="preserve"> related to film formation. </w:t>
      </w:r>
    </w:p>
    <w:p w14:paraId="43C3CE59" w14:textId="77777777" w:rsidR="00D51429" w:rsidRPr="00A223B3" w:rsidRDefault="00086F28" w:rsidP="00A223B3">
      <w:pPr>
        <w:pStyle w:val="BodyTextIndent2"/>
        <w:ind w:left="90"/>
        <w:rPr>
          <w:sz w:val="24"/>
          <w:szCs w:val="24"/>
        </w:rPr>
      </w:pPr>
      <w:r>
        <w:rPr>
          <w:noProof/>
        </w:rPr>
        <w:drawing>
          <wp:inline distT="0" distB="0" distL="0" distR="0" wp14:anchorId="2E873B97" wp14:editId="78E5BB78">
            <wp:extent cx="5581650" cy="22415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D00832" w14:textId="4FF587ED" w:rsidR="00F24A33" w:rsidRDefault="00F24A33" w:rsidP="00DB052F">
      <w:pPr>
        <w:pStyle w:val="BodyTextIndent2"/>
        <w:ind w:firstLine="274"/>
        <w:jc w:val="center"/>
        <w:rPr>
          <w:sz w:val="24"/>
          <w:szCs w:val="24"/>
        </w:rPr>
      </w:pPr>
      <w:r>
        <w:rPr>
          <w:sz w:val="24"/>
          <w:szCs w:val="24"/>
        </w:rPr>
        <w:t xml:space="preserve">Figure 2. Dynamic surface tension of Capstone, Triton X-100, National </w:t>
      </w:r>
      <w:r w:rsidR="000E29AE">
        <w:rPr>
          <w:sz w:val="24"/>
          <w:szCs w:val="24"/>
        </w:rPr>
        <w:t xml:space="preserve">AFFF </w:t>
      </w:r>
      <w:r>
        <w:rPr>
          <w:sz w:val="24"/>
          <w:szCs w:val="24"/>
        </w:rPr>
        <w:t>3%, and the reference AFFF formulation</w:t>
      </w:r>
      <w:r w:rsidR="008E129E">
        <w:rPr>
          <w:sz w:val="24"/>
          <w:szCs w:val="24"/>
        </w:rPr>
        <w:t xml:space="preserve"> (</w:t>
      </w:r>
      <w:r w:rsidR="00273A0C">
        <w:rPr>
          <w:sz w:val="24"/>
          <w:szCs w:val="24"/>
        </w:rPr>
        <w:t xml:space="preserve">0.2 % </w:t>
      </w:r>
      <w:r w:rsidR="008E129E">
        <w:rPr>
          <w:sz w:val="24"/>
          <w:szCs w:val="24"/>
        </w:rPr>
        <w:t>3:1 Capstone, Tr</w:t>
      </w:r>
      <w:r w:rsidR="008C3DD8">
        <w:rPr>
          <w:sz w:val="24"/>
          <w:szCs w:val="24"/>
        </w:rPr>
        <w:t>i</w:t>
      </w:r>
      <w:r w:rsidR="008E129E">
        <w:rPr>
          <w:sz w:val="24"/>
          <w:szCs w:val="24"/>
        </w:rPr>
        <w:t>ton, 1% DGBE)</w:t>
      </w:r>
      <w:r>
        <w:rPr>
          <w:sz w:val="24"/>
          <w:szCs w:val="24"/>
        </w:rPr>
        <w:t xml:space="preserve">. </w:t>
      </w:r>
    </w:p>
    <w:p w14:paraId="4CD7342A" w14:textId="77777777" w:rsidR="00DB052F" w:rsidRDefault="00DB052F" w:rsidP="00DB052F">
      <w:pPr>
        <w:pStyle w:val="BodyTextIndent2"/>
        <w:ind w:firstLine="274"/>
        <w:jc w:val="center"/>
        <w:rPr>
          <w:sz w:val="24"/>
          <w:szCs w:val="24"/>
        </w:rPr>
      </w:pPr>
    </w:p>
    <w:p w14:paraId="76F90C77" w14:textId="1332ADEB" w:rsidR="008A1835" w:rsidRDefault="00945D7D" w:rsidP="00DB052F">
      <w:pPr>
        <w:pStyle w:val="BodyTextIndent2"/>
        <w:ind w:firstLine="274"/>
        <w:jc w:val="left"/>
        <w:rPr>
          <w:sz w:val="24"/>
          <w:szCs w:val="24"/>
        </w:rPr>
      </w:pPr>
      <w:r>
        <w:rPr>
          <w:sz w:val="24"/>
          <w:szCs w:val="24"/>
        </w:rPr>
        <w:t xml:space="preserve">We </w:t>
      </w:r>
      <w:r w:rsidR="00F24A33">
        <w:rPr>
          <w:sz w:val="24"/>
          <w:szCs w:val="24"/>
        </w:rPr>
        <w:t>measured the d</w:t>
      </w:r>
      <w:r w:rsidR="00AD004C">
        <w:rPr>
          <w:sz w:val="24"/>
          <w:szCs w:val="24"/>
        </w:rPr>
        <w:t xml:space="preserve">ynamic surface tension of </w:t>
      </w:r>
      <w:r w:rsidR="000E29AE">
        <w:rPr>
          <w:sz w:val="24"/>
          <w:szCs w:val="24"/>
        </w:rPr>
        <w:t xml:space="preserve">AFFF </w:t>
      </w:r>
      <w:r w:rsidR="00F24A33">
        <w:rPr>
          <w:sz w:val="24"/>
          <w:szCs w:val="24"/>
        </w:rPr>
        <w:t xml:space="preserve">3% </w:t>
      </w:r>
      <w:r w:rsidR="006235E9">
        <w:rPr>
          <w:sz w:val="24"/>
          <w:szCs w:val="24"/>
        </w:rPr>
        <w:t xml:space="preserve">(National Inc.) </w:t>
      </w:r>
      <w:r w:rsidR="00F24A33">
        <w:rPr>
          <w:sz w:val="24"/>
          <w:szCs w:val="24"/>
        </w:rPr>
        <w:t>foam solution</w:t>
      </w:r>
      <w:r w:rsidR="0059043E">
        <w:rPr>
          <w:sz w:val="24"/>
          <w:szCs w:val="24"/>
        </w:rPr>
        <w:t xml:space="preserve"> and </w:t>
      </w:r>
      <w:r w:rsidR="00F24A33">
        <w:rPr>
          <w:sz w:val="24"/>
          <w:szCs w:val="24"/>
        </w:rPr>
        <w:t>compared</w:t>
      </w:r>
      <w:r w:rsidR="0059043E">
        <w:rPr>
          <w:sz w:val="24"/>
          <w:szCs w:val="24"/>
        </w:rPr>
        <w:t xml:space="preserve"> it</w:t>
      </w:r>
      <w:r w:rsidR="00F24A33">
        <w:rPr>
          <w:sz w:val="24"/>
          <w:szCs w:val="24"/>
        </w:rPr>
        <w:t xml:space="preserve"> to </w:t>
      </w:r>
      <w:r w:rsidR="00273A0C">
        <w:rPr>
          <w:sz w:val="24"/>
          <w:szCs w:val="24"/>
        </w:rPr>
        <w:t xml:space="preserve">an </w:t>
      </w:r>
      <w:r>
        <w:rPr>
          <w:sz w:val="24"/>
          <w:szCs w:val="24"/>
        </w:rPr>
        <w:t>aqueous solution</w:t>
      </w:r>
      <w:r w:rsidR="0059043E">
        <w:rPr>
          <w:sz w:val="24"/>
          <w:szCs w:val="24"/>
        </w:rPr>
        <w:t xml:space="preserve"> of </w:t>
      </w:r>
      <w:r w:rsidR="00F24A33">
        <w:rPr>
          <w:sz w:val="24"/>
          <w:szCs w:val="24"/>
        </w:rPr>
        <w:t xml:space="preserve">Capstone </w:t>
      </w:r>
      <w:r w:rsidR="0059043E">
        <w:rPr>
          <w:sz w:val="24"/>
          <w:szCs w:val="24"/>
        </w:rPr>
        <w:t>and Triton X-100</w:t>
      </w:r>
      <w:r w:rsidR="00F24A33">
        <w:rPr>
          <w:sz w:val="24"/>
          <w:szCs w:val="24"/>
        </w:rPr>
        <w:t xml:space="preserve"> at </w:t>
      </w:r>
      <w:r w:rsidR="0059043E">
        <w:rPr>
          <w:sz w:val="24"/>
          <w:szCs w:val="24"/>
        </w:rPr>
        <w:t xml:space="preserve">their experimentally </w:t>
      </w:r>
      <w:r w:rsidR="0059043E">
        <w:rPr>
          <w:sz w:val="24"/>
          <w:szCs w:val="24"/>
        </w:rPr>
        <w:lastRenderedPageBreak/>
        <w:t>determined</w:t>
      </w:r>
      <w:r w:rsidR="00F24A33">
        <w:rPr>
          <w:sz w:val="24"/>
          <w:szCs w:val="24"/>
        </w:rPr>
        <w:t xml:space="preserve"> </w:t>
      </w:r>
      <w:r w:rsidR="0059043E">
        <w:rPr>
          <w:sz w:val="24"/>
          <w:szCs w:val="24"/>
        </w:rPr>
        <w:t>critical micelle concentrations (</w:t>
      </w:r>
      <w:r w:rsidR="00F24A33">
        <w:rPr>
          <w:sz w:val="24"/>
          <w:szCs w:val="24"/>
        </w:rPr>
        <w:t>CMC</w:t>
      </w:r>
      <w:r w:rsidR="0059043E">
        <w:rPr>
          <w:sz w:val="24"/>
          <w:szCs w:val="24"/>
        </w:rPr>
        <w:t>),</w:t>
      </w:r>
      <w:r w:rsidR="00F24A33">
        <w:rPr>
          <w:sz w:val="24"/>
          <w:szCs w:val="24"/>
        </w:rPr>
        <w:t xml:space="preserve"> </w:t>
      </w:r>
      <w:r w:rsidR="008A1835">
        <w:rPr>
          <w:sz w:val="24"/>
          <w:szCs w:val="24"/>
        </w:rPr>
        <w:t>0.27 wt%</w:t>
      </w:r>
      <w:r w:rsidR="00F24A33">
        <w:rPr>
          <w:sz w:val="24"/>
          <w:szCs w:val="24"/>
        </w:rPr>
        <w:t xml:space="preserve"> and</w:t>
      </w:r>
      <w:r w:rsidR="0059043E">
        <w:rPr>
          <w:sz w:val="24"/>
          <w:szCs w:val="24"/>
        </w:rPr>
        <w:t xml:space="preserve"> 0.3 wt%, respectively.</w:t>
      </w:r>
      <w:r>
        <w:rPr>
          <w:sz w:val="24"/>
          <w:szCs w:val="24"/>
        </w:rPr>
        <w:t xml:space="preserve"> Figure 2 shows</w:t>
      </w:r>
      <w:r w:rsidR="00F24A33">
        <w:rPr>
          <w:sz w:val="24"/>
          <w:szCs w:val="24"/>
        </w:rPr>
        <w:t xml:space="preserve"> the init</w:t>
      </w:r>
      <w:r>
        <w:rPr>
          <w:sz w:val="24"/>
          <w:szCs w:val="24"/>
        </w:rPr>
        <w:t>ial response of Capstone is</w:t>
      </w:r>
      <w:r w:rsidR="00F24A33">
        <w:rPr>
          <w:sz w:val="24"/>
          <w:szCs w:val="24"/>
        </w:rPr>
        <w:t xml:space="preserve"> greater than that of Triton X-100 and </w:t>
      </w:r>
      <w:r w:rsidR="008B7F10">
        <w:rPr>
          <w:sz w:val="24"/>
          <w:szCs w:val="24"/>
        </w:rPr>
        <w:t>AFFF, closer to the value of water at low sur</w:t>
      </w:r>
      <w:r>
        <w:rPr>
          <w:sz w:val="24"/>
          <w:szCs w:val="24"/>
        </w:rPr>
        <w:t>face ages. Triton X-100</w:t>
      </w:r>
      <w:r w:rsidR="008B7F10">
        <w:rPr>
          <w:sz w:val="24"/>
          <w:szCs w:val="24"/>
        </w:rPr>
        <w:t xml:space="preserve"> has a smaller initial surface tension than AFFF, but never reache</w:t>
      </w:r>
      <w:r>
        <w:rPr>
          <w:sz w:val="24"/>
          <w:szCs w:val="24"/>
        </w:rPr>
        <w:t>s a</w:t>
      </w:r>
      <w:r w:rsidR="009A64AA">
        <w:rPr>
          <w:sz w:val="24"/>
          <w:szCs w:val="24"/>
        </w:rPr>
        <w:t xml:space="preserve"> low surface tension</w:t>
      </w:r>
      <w:r w:rsidR="008B7F10">
        <w:rPr>
          <w:sz w:val="24"/>
          <w:szCs w:val="24"/>
        </w:rPr>
        <w:t xml:space="preserve"> at longer surface ages. Therefore, the reference AFFF needed to be a mixture of the two surfactants to take advantage of the low initial surface tension of Triton X-100 and the low surface tension o</w:t>
      </w:r>
      <w:r w:rsidR="009A64AA">
        <w:rPr>
          <w:sz w:val="24"/>
          <w:szCs w:val="24"/>
        </w:rPr>
        <w:t>f Capstone at longer surface ages</w:t>
      </w:r>
      <w:r w:rsidR="008B7F10">
        <w:rPr>
          <w:sz w:val="24"/>
          <w:szCs w:val="24"/>
        </w:rPr>
        <w:t>. The f</w:t>
      </w:r>
      <w:r w:rsidR="009A64AA">
        <w:rPr>
          <w:sz w:val="24"/>
          <w:szCs w:val="24"/>
        </w:rPr>
        <w:t>ormulation that proved</w:t>
      </w:r>
      <w:r w:rsidR="008B7F10">
        <w:rPr>
          <w:sz w:val="24"/>
          <w:szCs w:val="24"/>
        </w:rPr>
        <w:t xml:space="preserve"> most similar to the dynamic surface tension of AFFF was a 3:1 mixture of Capstone and Trit</w:t>
      </w:r>
      <w:r w:rsidR="008A1835">
        <w:rPr>
          <w:sz w:val="24"/>
          <w:szCs w:val="24"/>
        </w:rPr>
        <w:t>on X-100 at its CMC concentration</w:t>
      </w:r>
      <w:r w:rsidR="00711D33">
        <w:rPr>
          <w:sz w:val="24"/>
          <w:szCs w:val="24"/>
        </w:rPr>
        <w:t xml:space="preserve"> (0.2 wt. %)</w:t>
      </w:r>
      <w:r w:rsidR="008A1835">
        <w:rPr>
          <w:sz w:val="24"/>
          <w:szCs w:val="24"/>
        </w:rPr>
        <w:t xml:space="preserve"> in </w:t>
      </w:r>
      <w:r w:rsidR="009A64AA">
        <w:rPr>
          <w:sz w:val="24"/>
          <w:szCs w:val="24"/>
        </w:rPr>
        <w:t>a 1% by vol.</w:t>
      </w:r>
      <w:r w:rsidR="00273A0C">
        <w:rPr>
          <w:sz w:val="24"/>
          <w:szCs w:val="24"/>
        </w:rPr>
        <w:t xml:space="preserve"> DGBE </w:t>
      </w:r>
      <w:r w:rsidR="009A64AA">
        <w:rPr>
          <w:sz w:val="24"/>
          <w:szCs w:val="24"/>
        </w:rPr>
        <w:t>aqueous solution</w:t>
      </w:r>
      <w:r w:rsidR="00711D33">
        <w:rPr>
          <w:sz w:val="24"/>
          <w:szCs w:val="24"/>
        </w:rPr>
        <w:t>.</w:t>
      </w:r>
      <w:r w:rsidR="008B7F10">
        <w:rPr>
          <w:sz w:val="24"/>
          <w:szCs w:val="24"/>
        </w:rPr>
        <w:t xml:space="preserve"> </w:t>
      </w:r>
    </w:p>
    <w:p w14:paraId="4B602FEF" w14:textId="77777777" w:rsidR="00DB052F" w:rsidRDefault="008A1835" w:rsidP="00DB052F">
      <w:pPr>
        <w:pStyle w:val="BodyTextIndent2"/>
        <w:spacing w:before="120" w:after="120"/>
        <w:jc w:val="left"/>
        <w:rPr>
          <w:sz w:val="24"/>
          <w:szCs w:val="24"/>
        </w:rPr>
      </w:pPr>
      <w:r>
        <w:rPr>
          <w:sz w:val="24"/>
          <w:szCs w:val="24"/>
        </w:rPr>
        <w:t>The foam solution properties</w:t>
      </w:r>
      <w:r w:rsidR="008D44E0">
        <w:rPr>
          <w:sz w:val="24"/>
          <w:szCs w:val="24"/>
        </w:rPr>
        <w:t xml:space="preserve"> for the reference AFFF formulation</w:t>
      </w:r>
      <w:r>
        <w:rPr>
          <w:sz w:val="24"/>
          <w:szCs w:val="24"/>
        </w:rPr>
        <w:t xml:space="preserve"> were measured and compared to National 3% foam solution. The results are tabulated in Table 1. </w:t>
      </w:r>
    </w:p>
    <w:p w14:paraId="441BC3A8" w14:textId="77777777" w:rsidR="008A1835" w:rsidRDefault="008A1835" w:rsidP="00DB052F">
      <w:pPr>
        <w:pStyle w:val="BodyTextIndent2"/>
        <w:spacing w:before="120"/>
        <w:ind w:firstLine="0"/>
        <w:jc w:val="left"/>
        <w:rPr>
          <w:sz w:val="24"/>
          <w:szCs w:val="24"/>
        </w:rPr>
      </w:pPr>
      <w:r>
        <w:rPr>
          <w:sz w:val="24"/>
          <w:szCs w:val="24"/>
        </w:rPr>
        <w:t xml:space="preserve">Table 1: Measured foam solution property data for reference AFFF and National 3%. </w:t>
      </w:r>
    </w:p>
    <w:tbl>
      <w:tblPr>
        <w:tblStyle w:val="TableGrid"/>
        <w:tblW w:w="0" w:type="auto"/>
        <w:tblLook w:val="04A0" w:firstRow="1" w:lastRow="0" w:firstColumn="1" w:lastColumn="0" w:noHBand="0" w:noVBand="1"/>
      </w:tblPr>
      <w:tblGrid>
        <w:gridCol w:w="3116"/>
        <w:gridCol w:w="3117"/>
        <w:gridCol w:w="3117"/>
      </w:tblGrid>
      <w:tr w:rsidR="008A1835" w:rsidRPr="008A1835" w14:paraId="70CFB9E0" w14:textId="77777777" w:rsidTr="008A1835">
        <w:tc>
          <w:tcPr>
            <w:tcW w:w="3116" w:type="dxa"/>
          </w:tcPr>
          <w:p w14:paraId="782DEA15" w14:textId="77777777" w:rsidR="008A1835" w:rsidRPr="008A1835" w:rsidRDefault="008A1835" w:rsidP="008A1835">
            <w:pPr>
              <w:pStyle w:val="BodyTextIndent2"/>
              <w:ind w:firstLine="0"/>
              <w:jc w:val="center"/>
              <w:rPr>
                <w:color w:val="7F7F7F" w:themeColor="text1" w:themeTint="80"/>
                <w:sz w:val="24"/>
                <w:szCs w:val="24"/>
              </w:rPr>
            </w:pPr>
            <w:r w:rsidRPr="008A1835">
              <w:rPr>
                <w:sz w:val="24"/>
                <w:szCs w:val="24"/>
              </w:rPr>
              <w:t>Property</w:t>
            </w:r>
          </w:p>
        </w:tc>
        <w:tc>
          <w:tcPr>
            <w:tcW w:w="3117" w:type="dxa"/>
          </w:tcPr>
          <w:p w14:paraId="147A109B" w14:textId="77777777" w:rsidR="008A1835" w:rsidRPr="008A1835" w:rsidRDefault="008A1835" w:rsidP="008A1835">
            <w:pPr>
              <w:pStyle w:val="BodyTextIndent2"/>
              <w:ind w:firstLine="0"/>
              <w:jc w:val="center"/>
              <w:rPr>
                <w:color w:val="7F7F7F" w:themeColor="text1" w:themeTint="80"/>
                <w:sz w:val="24"/>
                <w:szCs w:val="24"/>
              </w:rPr>
            </w:pPr>
            <w:r w:rsidRPr="008A1835">
              <w:rPr>
                <w:sz w:val="24"/>
                <w:szCs w:val="24"/>
              </w:rPr>
              <w:t>National 3%</w:t>
            </w:r>
          </w:p>
        </w:tc>
        <w:tc>
          <w:tcPr>
            <w:tcW w:w="3117" w:type="dxa"/>
          </w:tcPr>
          <w:p w14:paraId="29DBD038" w14:textId="77777777" w:rsidR="008A1835" w:rsidRPr="008A1835" w:rsidRDefault="008A1835" w:rsidP="008A1835">
            <w:pPr>
              <w:pStyle w:val="BodyTextIndent2"/>
              <w:ind w:firstLine="0"/>
              <w:jc w:val="center"/>
              <w:rPr>
                <w:color w:val="7F7F7F" w:themeColor="text1" w:themeTint="80"/>
                <w:sz w:val="24"/>
                <w:szCs w:val="24"/>
              </w:rPr>
            </w:pPr>
            <w:r w:rsidRPr="008A1835">
              <w:rPr>
                <w:sz w:val="24"/>
                <w:szCs w:val="24"/>
              </w:rPr>
              <w:t>Reference AFFF</w:t>
            </w:r>
          </w:p>
        </w:tc>
      </w:tr>
      <w:tr w:rsidR="008A1835" w:rsidRPr="008A1835" w14:paraId="0555D8D6" w14:textId="77777777" w:rsidTr="008A1835">
        <w:tc>
          <w:tcPr>
            <w:tcW w:w="3116" w:type="dxa"/>
          </w:tcPr>
          <w:p w14:paraId="6C1AB5CA" w14:textId="77777777" w:rsidR="008A1835" w:rsidRPr="008A1835" w:rsidRDefault="008A1835" w:rsidP="008A1835">
            <w:pPr>
              <w:pStyle w:val="BodyTextIndent2"/>
              <w:ind w:firstLine="0"/>
              <w:jc w:val="center"/>
              <w:rPr>
                <w:color w:val="000000" w:themeColor="text1"/>
                <w:sz w:val="24"/>
                <w:szCs w:val="24"/>
              </w:rPr>
            </w:pPr>
            <w:r w:rsidRPr="008A1835">
              <w:rPr>
                <w:color w:val="000000" w:themeColor="text1"/>
                <w:sz w:val="24"/>
                <w:szCs w:val="24"/>
              </w:rPr>
              <w:t>Surface Tension (mN/m)</w:t>
            </w:r>
          </w:p>
        </w:tc>
        <w:tc>
          <w:tcPr>
            <w:tcW w:w="3117" w:type="dxa"/>
          </w:tcPr>
          <w:p w14:paraId="57BD0A7B" w14:textId="77777777" w:rsidR="008A1835" w:rsidRPr="008A1835" w:rsidRDefault="008A1835" w:rsidP="008A1835">
            <w:pPr>
              <w:pStyle w:val="BodyTextIndent2"/>
              <w:ind w:firstLine="0"/>
              <w:jc w:val="center"/>
              <w:rPr>
                <w:color w:val="000000" w:themeColor="text1"/>
                <w:sz w:val="24"/>
                <w:szCs w:val="24"/>
              </w:rPr>
            </w:pPr>
            <w:r>
              <w:rPr>
                <w:color w:val="000000" w:themeColor="text1"/>
                <w:sz w:val="24"/>
                <w:szCs w:val="24"/>
              </w:rPr>
              <w:t>16.5</w:t>
            </w:r>
          </w:p>
        </w:tc>
        <w:tc>
          <w:tcPr>
            <w:tcW w:w="3117" w:type="dxa"/>
          </w:tcPr>
          <w:p w14:paraId="0A47F385" w14:textId="77777777" w:rsidR="008A1835" w:rsidRPr="008A1835" w:rsidRDefault="008A1835" w:rsidP="008A1835">
            <w:pPr>
              <w:pStyle w:val="BodyTextIndent2"/>
              <w:ind w:firstLine="0"/>
              <w:jc w:val="center"/>
              <w:rPr>
                <w:color w:val="000000" w:themeColor="text1"/>
                <w:sz w:val="24"/>
                <w:szCs w:val="24"/>
              </w:rPr>
            </w:pPr>
            <w:r>
              <w:rPr>
                <w:color w:val="000000" w:themeColor="text1"/>
                <w:sz w:val="24"/>
                <w:szCs w:val="24"/>
              </w:rPr>
              <w:t>16.31</w:t>
            </w:r>
          </w:p>
        </w:tc>
      </w:tr>
      <w:tr w:rsidR="008A1835" w:rsidRPr="008A1835" w14:paraId="0F2DD7D6" w14:textId="77777777" w:rsidTr="008A1835">
        <w:tc>
          <w:tcPr>
            <w:tcW w:w="3116" w:type="dxa"/>
          </w:tcPr>
          <w:p w14:paraId="496C40F7" w14:textId="77777777" w:rsidR="008A1835" w:rsidRPr="008A1835" w:rsidRDefault="008A1835" w:rsidP="008A1835">
            <w:pPr>
              <w:pStyle w:val="BodyTextIndent2"/>
              <w:ind w:firstLine="0"/>
              <w:jc w:val="center"/>
              <w:rPr>
                <w:color w:val="000000" w:themeColor="text1"/>
                <w:sz w:val="24"/>
                <w:szCs w:val="24"/>
              </w:rPr>
            </w:pPr>
            <w:r>
              <w:rPr>
                <w:color w:val="000000" w:themeColor="text1"/>
                <w:sz w:val="24"/>
                <w:szCs w:val="24"/>
              </w:rPr>
              <w:t>Spreading Coefficient</w:t>
            </w:r>
          </w:p>
        </w:tc>
        <w:tc>
          <w:tcPr>
            <w:tcW w:w="3117" w:type="dxa"/>
          </w:tcPr>
          <w:p w14:paraId="5905188C" w14:textId="557A3884" w:rsidR="008A1835" w:rsidRPr="008A1835" w:rsidRDefault="008A1835" w:rsidP="008A1835">
            <w:pPr>
              <w:pStyle w:val="BodyTextIndent2"/>
              <w:ind w:firstLine="0"/>
              <w:jc w:val="center"/>
              <w:rPr>
                <w:color w:val="000000" w:themeColor="text1"/>
                <w:sz w:val="24"/>
                <w:szCs w:val="24"/>
              </w:rPr>
            </w:pPr>
            <w:r>
              <w:rPr>
                <w:color w:val="000000" w:themeColor="text1"/>
                <w:sz w:val="24"/>
                <w:szCs w:val="24"/>
              </w:rPr>
              <w:t>6</w:t>
            </w:r>
            <w:r w:rsidR="00273A0C">
              <w:rPr>
                <w:color w:val="000000" w:themeColor="text1"/>
                <w:sz w:val="24"/>
                <w:szCs w:val="24"/>
              </w:rPr>
              <w:t>.30</w:t>
            </w:r>
          </w:p>
        </w:tc>
        <w:tc>
          <w:tcPr>
            <w:tcW w:w="3117" w:type="dxa"/>
          </w:tcPr>
          <w:p w14:paraId="338BA460" w14:textId="3D9A3166" w:rsidR="008A1835" w:rsidRPr="008A1835" w:rsidRDefault="008A1835" w:rsidP="008A1835">
            <w:pPr>
              <w:pStyle w:val="BodyTextIndent2"/>
              <w:ind w:firstLine="0"/>
              <w:jc w:val="center"/>
              <w:rPr>
                <w:color w:val="000000" w:themeColor="text1"/>
                <w:sz w:val="24"/>
                <w:szCs w:val="24"/>
              </w:rPr>
            </w:pPr>
            <w:r>
              <w:rPr>
                <w:color w:val="000000" w:themeColor="text1"/>
                <w:sz w:val="24"/>
                <w:szCs w:val="24"/>
              </w:rPr>
              <w:t>4.</w:t>
            </w:r>
            <w:r w:rsidR="00273A0C">
              <w:rPr>
                <w:color w:val="000000" w:themeColor="text1"/>
                <w:sz w:val="24"/>
                <w:szCs w:val="24"/>
              </w:rPr>
              <w:t>89</w:t>
            </w:r>
          </w:p>
        </w:tc>
      </w:tr>
    </w:tbl>
    <w:p w14:paraId="6CBDE1DD" w14:textId="77777777" w:rsidR="00BB1D4C" w:rsidRDefault="00BB1D4C" w:rsidP="00BB1D4C">
      <w:pPr>
        <w:pStyle w:val="BodyTextIndent2"/>
        <w:ind w:firstLine="0"/>
        <w:jc w:val="left"/>
        <w:rPr>
          <w:sz w:val="24"/>
          <w:szCs w:val="24"/>
        </w:rPr>
      </w:pPr>
    </w:p>
    <w:p w14:paraId="4B8ED32C" w14:textId="1A46C19A" w:rsidR="00844480" w:rsidRDefault="009A64AA" w:rsidP="00BB1D4C">
      <w:pPr>
        <w:pStyle w:val="BodyTextIndent2"/>
        <w:ind w:firstLine="0"/>
        <w:jc w:val="left"/>
        <w:rPr>
          <w:sz w:val="24"/>
          <w:szCs w:val="24"/>
        </w:rPr>
      </w:pPr>
      <w:r>
        <w:rPr>
          <w:sz w:val="24"/>
          <w:szCs w:val="24"/>
        </w:rPr>
        <w:t>The</w:t>
      </w:r>
      <w:r w:rsidR="00844480">
        <w:rPr>
          <w:sz w:val="24"/>
          <w:szCs w:val="24"/>
        </w:rPr>
        <w:t xml:space="preserve"> solutions </w:t>
      </w:r>
      <w:r w:rsidR="00146156">
        <w:rPr>
          <w:sz w:val="24"/>
          <w:szCs w:val="24"/>
        </w:rPr>
        <w:t>have similar surface tensions</w:t>
      </w:r>
      <w:r w:rsidR="00945D7D">
        <w:rPr>
          <w:sz w:val="24"/>
          <w:szCs w:val="24"/>
        </w:rPr>
        <w:t xml:space="preserve"> but different</w:t>
      </w:r>
      <w:r w:rsidR="0044312E">
        <w:rPr>
          <w:sz w:val="24"/>
          <w:szCs w:val="24"/>
        </w:rPr>
        <w:t xml:space="preserve"> in</w:t>
      </w:r>
      <w:r w:rsidR="00945D7D">
        <w:rPr>
          <w:sz w:val="24"/>
          <w:szCs w:val="24"/>
        </w:rPr>
        <w:t>terfacial tensions</w:t>
      </w:r>
      <w:r w:rsidR="0044312E">
        <w:rPr>
          <w:sz w:val="24"/>
          <w:szCs w:val="24"/>
        </w:rPr>
        <w:t xml:space="preserve"> (</w:t>
      </w:r>
      <w:r w:rsidR="00273A0C">
        <w:rPr>
          <w:sz w:val="24"/>
          <w:szCs w:val="24"/>
        </w:rPr>
        <w:t>3.75</w:t>
      </w:r>
      <w:r w:rsidR="0044312E">
        <w:rPr>
          <w:sz w:val="24"/>
          <w:szCs w:val="24"/>
        </w:rPr>
        <w:t xml:space="preserve"> </w:t>
      </w:r>
      <w:r w:rsidR="006235E9">
        <w:rPr>
          <w:sz w:val="24"/>
          <w:szCs w:val="24"/>
        </w:rPr>
        <w:t>and</w:t>
      </w:r>
      <w:r w:rsidR="0044312E">
        <w:rPr>
          <w:sz w:val="24"/>
          <w:szCs w:val="24"/>
        </w:rPr>
        <w:t xml:space="preserve"> 1.</w:t>
      </w:r>
      <w:r w:rsidR="00273A0C">
        <w:rPr>
          <w:sz w:val="24"/>
          <w:szCs w:val="24"/>
        </w:rPr>
        <w:t>2</w:t>
      </w:r>
      <w:r w:rsidR="0044312E">
        <w:rPr>
          <w:sz w:val="24"/>
          <w:szCs w:val="24"/>
        </w:rPr>
        <w:t xml:space="preserve"> for </w:t>
      </w:r>
      <w:r w:rsidR="00273A0C">
        <w:rPr>
          <w:sz w:val="24"/>
          <w:szCs w:val="24"/>
        </w:rPr>
        <w:t>reference AFFF and National 3% respectively</w:t>
      </w:r>
      <w:r w:rsidR="0044312E">
        <w:rPr>
          <w:sz w:val="24"/>
          <w:szCs w:val="24"/>
        </w:rPr>
        <w:t>)</w:t>
      </w:r>
      <w:r w:rsidR="00844480">
        <w:rPr>
          <w:sz w:val="24"/>
          <w:szCs w:val="24"/>
        </w:rPr>
        <w:t xml:space="preserve">. The spreading coefficient between the two foams differ by </w:t>
      </w:r>
      <w:r w:rsidR="00273A0C">
        <w:rPr>
          <w:sz w:val="24"/>
          <w:szCs w:val="24"/>
        </w:rPr>
        <w:t>22</w:t>
      </w:r>
      <w:r w:rsidR="00844480">
        <w:rPr>
          <w:sz w:val="24"/>
          <w:szCs w:val="24"/>
        </w:rPr>
        <w:t>%; however, the reference AFFF</w:t>
      </w:r>
      <w:r>
        <w:rPr>
          <w:sz w:val="24"/>
          <w:szCs w:val="24"/>
        </w:rPr>
        <w:t xml:space="preserve"> </w:t>
      </w:r>
      <w:r w:rsidR="008D44E0">
        <w:rPr>
          <w:sz w:val="24"/>
          <w:szCs w:val="24"/>
        </w:rPr>
        <w:t>exceeds</w:t>
      </w:r>
      <w:r>
        <w:rPr>
          <w:sz w:val="24"/>
          <w:szCs w:val="24"/>
        </w:rPr>
        <w:t xml:space="preserve"> the criteria</w:t>
      </w:r>
      <w:r w:rsidR="006235E9">
        <w:rPr>
          <w:sz w:val="24"/>
          <w:szCs w:val="24"/>
        </w:rPr>
        <w:t xml:space="preserve"> (&gt;3)</w:t>
      </w:r>
      <w:r w:rsidR="00844480">
        <w:rPr>
          <w:sz w:val="24"/>
          <w:szCs w:val="24"/>
        </w:rPr>
        <w:t xml:space="preserve"> for MilSpec qualification. </w:t>
      </w:r>
    </w:p>
    <w:p w14:paraId="41480A70" w14:textId="760ED42A" w:rsidR="00844480" w:rsidRDefault="00BB1D4C" w:rsidP="00BB1D4C">
      <w:pPr>
        <w:pStyle w:val="BodyTextIndent2"/>
        <w:spacing w:before="120" w:after="120"/>
        <w:ind w:firstLine="0"/>
        <w:jc w:val="left"/>
        <w:rPr>
          <w:sz w:val="24"/>
          <w:szCs w:val="24"/>
        </w:rPr>
      </w:pPr>
      <w:r>
        <w:rPr>
          <w:sz w:val="24"/>
          <w:szCs w:val="24"/>
        </w:rPr>
        <w:t xml:space="preserve">     </w:t>
      </w:r>
      <w:r w:rsidR="00D54E17">
        <w:rPr>
          <w:sz w:val="24"/>
          <w:szCs w:val="24"/>
        </w:rPr>
        <w:t>Foam properties were</w:t>
      </w:r>
      <w:r w:rsidR="00844480">
        <w:rPr>
          <w:sz w:val="24"/>
          <w:szCs w:val="24"/>
        </w:rPr>
        <w:t xml:space="preserve"> measured during MilSpec testing and</w:t>
      </w:r>
      <w:r>
        <w:rPr>
          <w:sz w:val="24"/>
          <w:szCs w:val="24"/>
        </w:rPr>
        <w:t xml:space="preserve"> compared to the in-lab</w:t>
      </w:r>
      <w:r w:rsidR="007755F5">
        <w:rPr>
          <w:sz w:val="24"/>
          <w:szCs w:val="24"/>
        </w:rPr>
        <w:t xml:space="preserve"> generation method. </w:t>
      </w:r>
      <w:r w:rsidR="00844480">
        <w:rPr>
          <w:sz w:val="24"/>
          <w:szCs w:val="24"/>
        </w:rPr>
        <w:t>MilSpec data was collected for FomTec</w:t>
      </w:r>
      <w:r w:rsidR="00D54E17">
        <w:rPr>
          <w:sz w:val="24"/>
          <w:szCs w:val="24"/>
        </w:rPr>
        <w:t xml:space="preserve"> 3%</w:t>
      </w:r>
      <w:r w:rsidR="00844480">
        <w:rPr>
          <w:sz w:val="24"/>
          <w:szCs w:val="24"/>
        </w:rPr>
        <w:t xml:space="preserve"> instead of National 3%</w:t>
      </w:r>
      <w:r w:rsidR="00273A0C">
        <w:rPr>
          <w:sz w:val="24"/>
          <w:szCs w:val="24"/>
        </w:rPr>
        <w:t xml:space="preserve"> foam</w:t>
      </w:r>
      <w:r w:rsidR="00844480">
        <w:rPr>
          <w:sz w:val="24"/>
          <w:szCs w:val="24"/>
        </w:rPr>
        <w:t>.</w:t>
      </w:r>
      <w:r w:rsidR="001B44DB">
        <w:rPr>
          <w:sz w:val="24"/>
          <w:szCs w:val="24"/>
        </w:rPr>
        <w:t xml:space="preserve"> </w:t>
      </w:r>
      <w:r w:rsidR="00844480">
        <w:rPr>
          <w:sz w:val="24"/>
          <w:szCs w:val="24"/>
        </w:rPr>
        <w:t xml:space="preserve">Table 2 tabulates </w:t>
      </w:r>
      <w:r>
        <w:rPr>
          <w:sz w:val="24"/>
          <w:szCs w:val="24"/>
        </w:rPr>
        <w:t xml:space="preserve">the initial expansion ratio, </w:t>
      </w:r>
      <w:r w:rsidR="00844480">
        <w:rPr>
          <w:sz w:val="24"/>
          <w:szCs w:val="24"/>
        </w:rPr>
        <w:t>initial bubble diameter and</w:t>
      </w:r>
      <w:r w:rsidR="00331572">
        <w:rPr>
          <w:sz w:val="24"/>
          <w:szCs w:val="24"/>
        </w:rPr>
        <w:t xml:space="preserve"> 25% liquid drainage time. </w:t>
      </w:r>
    </w:p>
    <w:p w14:paraId="03C54129" w14:textId="77777777" w:rsidR="00844480" w:rsidRDefault="00844480" w:rsidP="00BB1D4C">
      <w:pPr>
        <w:pStyle w:val="BodyTextIndent2"/>
        <w:ind w:firstLine="0"/>
        <w:jc w:val="left"/>
        <w:rPr>
          <w:sz w:val="24"/>
          <w:szCs w:val="24"/>
        </w:rPr>
      </w:pPr>
      <w:r>
        <w:rPr>
          <w:sz w:val="24"/>
          <w:szCs w:val="24"/>
        </w:rPr>
        <w:t>Table 2. Measu</w:t>
      </w:r>
      <w:r w:rsidR="00BB1D4C">
        <w:rPr>
          <w:sz w:val="24"/>
          <w:szCs w:val="24"/>
        </w:rPr>
        <w:t>red foam property data from in-lab</w:t>
      </w:r>
      <w:r>
        <w:rPr>
          <w:sz w:val="24"/>
          <w:szCs w:val="24"/>
        </w:rPr>
        <w:t xml:space="preserve"> and MilSpec foam generation. </w:t>
      </w:r>
    </w:p>
    <w:tbl>
      <w:tblPr>
        <w:tblStyle w:val="TableGrid"/>
        <w:tblW w:w="9805" w:type="dxa"/>
        <w:tblLook w:val="04A0" w:firstRow="1" w:lastRow="0" w:firstColumn="1" w:lastColumn="0" w:noHBand="0" w:noVBand="1"/>
      </w:tblPr>
      <w:tblGrid>
        <w:gridCol w:w="1030"/>
        <w:gridCol w:w="2475"/>
        <w:gridCol w:w="1890"/>
        <w:gridCol w:w="2430"/>
        <w:gridCol w:w="1980"/>
      </w:tblGrid>
      <w:tr w:rsidR="005C617C" w:rsidRPr="008A1835" w14:paraId="5A17C732" w14:textId="77777777" w:rsidTr="007755F5">
        <w:trPr>
          <w:trHeight w:val="461"/>
        </w:trPr>
        <w:tc>
          <w:tcPr>
            <w:tcW w:w="3505" w:type="dxa"/>
            <w:gridSpan w:val="2"/>
          </w:tcPr>
          <w:p w14:paraId="41616689" w14:textId="77777777" w:rsidR="005C617C" w:rsidRPr="008A1835" w:rsidRDefault="005C617C" w:rsidP="0049419B">
            <w:pPr>
              <w:pStyle w:val="BodyTextIndent2"/>
              <w:ind w:firstLine="0"/>
              <w:jc w:val="center"/>
              <w:rPr>
                <w:color w:val="7F7F7F" w:themeColor="text1" w:themeTint="80"/>
                <w:sz w:val="24"/>
                <w:szCs w:val="24"/>
              </w:rPr>
            </w:pPr>
            <w:r>
              <w:rPr>
                <w:sz w:val="24"/>
                <w:szCs w:val="24"/>
              </w:rPr>
              <w:t>Foam</w:t>
            </w:r>
          </w:p>
        </w:tc>
        <w:tc>
          <w:tcPr>
            <w:tcW w:w="1890" w:type="dxa"/>
          </w:tcPr>
          <w:p w14:paraId="50A768CA" w14:textId="1E0C33B0" w:rsidR="005C617C" w:rsidRPr="008A1835" w:rsidRDefault="007755F5" w:rsidP="0049419B">
            <w:pPr>
              <w:pStyle w:val="BodyTextIndent2"/>
              <w:ind w:firstLine="0"/>
              <w:jc w:val="center"/>
              <w:rPr>
                <w:color w:val="7F7F7F" w:themeColor="text1" w:themeTint="80"/>
                <w:sz w:val="24"/>
                <w:szCs w:val="24"/>
              </w:rPr>
            </w:pPr>
            <w:r>
              <w:rPr>
                <w:sz w:val="24"/>
                <w:szCs w:val="24"/>
              </w:rPr>
              <w:t xml:space="preserve">Initial </w:t>
            </w:r>
            <w:r w:rsidR="005C617C" w:rsidRPr="00844480">
              <w:rPr>
                <w:sz w:val="24"/>
                <w:szCs w:val="24"/>
              </w:rPr>
              <w:t>Expansion Ratio</w:t>
            </w:r>
          </w:p>
        </w:tc>
        <w:tc>
          <w:tcPr>
            <w:tcW w:w="2430" w:type="dxa"/>
          </w:tcPr>
          <w:p w14:paraId="416BF11D" w14:textId="77777777" w:rsidR="005C617C" w:rsidRPr="008A1835" w:rsidRDefault="005C617C" w:rsidP="0049419B">
            <w:pPr>
              <w:pStyle w:val="BodyTextIndent2"/>
              <w:ind w:firstLine="0"/>
              <w:jc w:val="center"/>
              <w:rPr>
                <w:sz w:val="24"/>
                <w:szCs w:val="24"/>
              </w:rPr>
            </w:pPr>
            <w:r>
              <w:rPr>
                <w:sz w:val="24"/>
                <w:szCs w:val="24"/>
              </w:rPr>
              <w:t>Initial Bubble Diameter (mm)</w:t>
            </w:r>
          </w:p>
        </w:tc>
        <w:tc>
          <w:tcPr>
            <w:tcW w:w="1980" w:type="dxa"/>
          </w:tcPr>
          <w:p w14:paraId="650DB64E" w14:textId="77777777" w:rsidR="005C617C" w:rsidRDefault="005C617C" w:rsidP="0049419B">
            <w:pPr>
              <w:pStyle w:val="BodyTextIndent2"/>
              <w:ind w:firstLine="0"/>
              <w:jc w:val="center"/>
              <w:rPr>
                <w:sz w:val="24"/>
                <w:szCs w:val="24"/>
              </w:rPr>
            </w:pPr>
            <w:r>
              <w:rPr>
                <w:sz w:val="24"/>
                <w:szCs w:val="24"/>
              </w:rPr>
              <w:t>25 % Liquid Drainage Time (s)</w:t>
            </w:r>
          </w:p>
        </w:tc>
      </w:tr>
      <w:tr w:rsidR="005C617C" w:rsidRPr="008A1835" w14:paraId="77B6C495" w14:textId="77777777" w:rsidTr="007755F5">
        <w:trPr>
          <w:trHeight w:val="275"/>
        </w:trPr>
        <w:tc>
          <w:tcPr>
            <w:tcW w:w="1030" w:type="dxa"/>
            <w:vMerge w:val="restart"/>
          </w:tcPr>
          <w:p w14:paraId="5D41A27A" w14:textId="7173A355" w:rsidR="005C617C" w:rsidRPr="008A1835" w:rsidRDefault="009C000D" w:rsidP="0049419B">
            <w:pPr>
              <w:pStyle w:val="BodyTextIndent2"/>
              <w:ind w:firstLine="0"/>
              <w:jc w:val="center"/>
              <w:rPr>
                <w:color w:val="000000" w:themeColor="text1"/>
                <w:sz w:val="24"/>
                <w:szCs w:val="24"/>
              </w:rPr>
            </w:pPr>
            <w:r>
              <w:rPr>
                <w:color w:val="000000" w:themeColor="text1"/>
                <w:sz w:val="24"/>
                <w:szCs w:val="24"/>
              </w:rPr>
              <w:t>In-Lab</w:t>
            </w:r>
          </w:p>
        </w:tc>
        <w:tc>
          <w:tcPr>
            <w:tcW w:w="2475" w:type="dxa"/>
          </w:tcPr>
          <w:p w14:paraId="3A030FF1" w14:textId="5D469EE0" w:rsidR="005C617C" w:rsidRPr="008A1835" w:rsidRDefault="009C000D" w:rsidP="0049419B">
            <w:pPr>
              <w:pStyle w:val="BodyTextIndent2"/>
              <w:ind w:firstLine="0"/>
              <w:jc w:val="center"/>
              <w:rPr>
                <w:color w:val="000000" w:themeColor="text1"/>
                <w:sz w:val="24"/>
                <w:szCs w:val="24"/>
              </w:rPr>
            </w:pPr>
            <w:r>
              <w:rPr>
                <w:color w:val="000000" w:themeColor="text1"/>
                <w:sz w:val="24"/>
                <w:szCs w:val="24"/>
              </w:rPr>
              <w:t>Ref AFFF</w:t>
            </w:r>
          </w:p>
        </w:tc>
        <w:tc>
          <w:tcPr>
            <w:tcW w:w="1890" w:type="dxa"/>
          </w:tcPr>
          <w:p w14:paraId="2287606D" w14:textId="3DE71894" w:rsidR="005C617C" w:rsidRPr="008A1835" w:rsidRDefault="009C000D" w:rsidP="0049419B">
            <w:pPr>
              <w:pStyle w:val="BodyTextIndent2"/>
              <w:ind w:firstLine="0"/>
              <w:jc w:val="center"/>
              <w:rPr>
                <w:color w:val="000000" w:themeColor="text1"/>
                <w:sz w:val="24"/>
                <w:szCs w:val="24"/>
              </w:rPr>
            </w:pPr>
            <w:r>
              <w:rPr>
                <w:color w:val="000000" w:themeColor="text1"/>
                <w:sz w:val="24"/>
                <w:szCs w:val="24"/>
              </w:rPr>
              <w:t>10.32</w:t>
            </w:r>
          </w:p>
        </w:tc>
        <w:tc>
          <w:tcPr>
            <w:tcW w:w="2430" w:type="dxa"/>
          </w:tcPr>
          <w:p w14:paraId="3E8B0133" w14:textId="529090C2" w:rsidR="005C617C" w:rsidRDefault="009C000D" w:rsidP="009C000D">
            <w:pPr>
              <w:pStyle w:val="BodyTextIndent2"/>
              <w:ind w:firstLine="0"/>
              <w:jc w:val="center"/>
              <w:rPr>
                <w:color w:val="000000" w:themeColor="text1"/>
                <w:sz w:val="24"/>
                <w:szCs w:val="24"/>
              </w:rPr>
            </w:pPr>
            <w:r>
              <w:rPr>
                <w:color w:val="000000" w:themeColor="text1"/>
                <w:sz w:val="24"/>
                <w:szCs w:val="24"/>
              </w:rPr>
              <w:t>0.35 ± 0.08</w:t>
            </w:r>
          </w:p>
        </w:tc>
        <w:tc>
          <w:tcPr>
            <w:tcW w:w="1980" w:type="dxa"/>
          </w:tcPr>
          <w:p w14:paraId="75B9E5EE" w14:textId="68971209" w:rsidR="005C617C" w:rsidRDefault="009C000D" w:rsidP="0049419B">
            <w:pPr>
              <w:pStyle w:val="BodyTextIndent2"/>
              <w:ind w:firstLine="0"/>
              <w:jc w:val="center"/>
              <w:rPr>
                <w:color w:val="000000" w:themeColor="text1"/>
                <w:sz w:val="24"/>
                <w:szCs w:val="24"/>
              </w:rPr>
            </w:pPr>
            <w:r>
              <w:rPr>
                <w:color w:val="000000" w:themeColor="text1"/>
                <w:sz w:val="24"/>
                <w:szCs w:val="24"/>
              </w:rPr>
              <w:t>105</w:t>
            </w:r>
          </w:p>
        </w:tc>
      </w:tr>
      <w:tr w:rsidR="005C617C" w:rsidRPr="008A1835" w14:paraId="408A868D" w14:textId="77777777" w:rsidTr="007755F5">
        <w:trPr>
          <w:trHeight w:val="240"/>
        </w:trPr>
        <w:tc>
          <w:tcPr>
            <w:tcW w:w="1030" w:type="dxa"/>
            <w:vMerge/>
          </w:tcPr>
          <w:p w14:paraId="39A08256" w14:textId="77777777" w:rsidR="005C617C" w:rsidRPr="008A1835" w:rsidRDefault="005C617C" w:rsidP="0049419B">
            <w:pPr>
              <w:pStyle w:val="BodyTextIndent2"/>
              <w:ind w:firstLine="0"/>
              <w:jc w:val="center"/>
              <w:rPr>
                <w:color w:val="000000" w:themeColor="text1"/>
                <w:sz w:val="24"/>
                <w:szCs w:val="24"/>
              </w:rPr>
            </w:pPr>
          </w:p>
        </w:tc>
        <w:tc>
          <w:tcPr>
            <w:tcW w:w="2475" w:type="dxa"/>
          </w:tcPr>
          <w:p w14:paraId="5DB500F8" w14:textId="52D5CB77" w:rsidR="005C617C" w:rsidRPr="008A1835" w:rsidRDefault="009C000D" w:rsidP="0049419B">
            <w:pPr>
              <w:pStyle w:val="BodyTextIndent2"/>
              <w:ind w:firstLine="0"/>
              <w:jc w:val="center"/>
              <w:rPr>
                <w:color w:val="000000" w:themeColor="text1"/>
                <w:sz w:val="24"/>
                <w:szCs w:val="24"/>
              </w:rPr>
            </w:pPr>
            <w:r>
              <w:rPr>
                <w:color w:val="000000" w:themeColor="text1"/>
                <w:sz w:val="24"/>
                <w:szCs w:val="24"/>
              </w:rPr>
              <w:t>Commercial (National)</w:t>
            </w:r>
          </w:p>
        </w:tc>
        <w:tc>
          <w:tcPr>
            <w:tcW w:w="1890" w:type="dxa"/>
          </w:tcPr>
          <w:p w14:paraId="03F3213C" w14:textId="69FC5E9C" w:rsidR="005C617C" w:rsidRPr="008A1835" w:rsidRDefault="009C000D" w:rsidP="0049419B">
            <w:pPr>
              <w:pStyle w:val="BodyTextIndent2"/>
              <w:ind w:firstLine="0"/>
              <w:jc w:val="center"/>
              <w:rPr>
                <w:color w:val="000000" w:themeColor="text1"/>
                <w:sz w:val="24"/>
                <w:szCs w:val="24"/>
              </w:rPr>
            </w:pPr>
            <w:r>
              <w:rPr>
                <w:color w:val="000000" w:themeColor="text1"/>
                <w:sz w:val="24"/>
                <w:szCs w:val="24"/>
              </w:rPr>
              <w:t>8.46</w:t>
            </w:r>
          </w:p>
        </w:tc>
        <w:tc>
          <w:tcPr>
            <w:tcW w:w="2430" w:type="dxa"/>
          </w:tcPr>
          <w:p w14:paraId="214EA6EF" w14:textId="0F0E4E9A" w:rsidR="005C617C" w:rsidRDefault="009C000D" w:rsidP="001B44DB">
            <w:pPr>
              <w:pStyle w:val="BodyTextIndent2"/>
              <w:ind w:firstLine="0"/>
              <w:jc w:val="center"/>
              <w:rPr>
                <w:color w:val="000000" w:themeColor="text1"/>
                <w:sz w:val="24"/>
                <w:szCs w:val="24"/>
              </w:rPr>
            </w:pPr>
            <w:r>
              <w:rPr>
                <w:color w:val="000000" w:themeColor="text1"/>
                <w:sz w:val="24"/>
                <w:szCs w:val="24"/>
              </w:rPr>
              <w:t>0.55 ± 0.14</w:t>
            </w:r>
          </w:p>
        </w:tc>
        <w:tc>
          <w:tcPr>
            <w:tcW w:w="1980" w:type="dxa"/>
          </w:tcPr>
          <w:p w14:paraId="6166D1C6" w14:textId="16EE8EBB" w:rsidR="005C617C" w:rsidRDefault="009C000D" w:rsidP="009C000D">
            <w:pPr>
              <w:pStyle w:val="BodyTextIndent2"/>
              <w:ind w:firstLine="0"/>
              <w:jc w:val="center"/>
              <w:rPr>
                <w:color w:val="000000" w:themeColor="text1"/>
                <w:sz w:val="24"/>
                <w:szCs w:val="24"/>
              </w:rPr>
            </w:pPr>
            <w:r>
              <w:rPr>
                <w:color w:val="000000" w:themeColor="text1"/>
                <w:sz w:val="24"/>
                <w:szCs w:val="24"/>
              </w:rPr>
              <w:t>98</w:t>
            </w:r>
          </w:p>
        </w:tc>
      </w:tr>
      <w:tr w:rsidR="005C617C" w:rsidRPr="008A1835" w14:paraId="005A5623" w14:textId="77777777" w:rsidTr="007755F5">
        <w:trPr>
          <w:trHeight w:val="180"/>
        </w:trPr>
        <w:tc>
          <w:tcPr>
            <w:tcW w:w="1030" w:type="dxa"/>
            <w:vMerge w:val="restart"/>
          </w:tcPr>
          <w:p w14:paraId="1D589F19" w14:textId="5FDABE94" w:rsidR="005C617C" w:rsidRDefault="009C000D" w:rsidP="0049419B">
            <w:pPr>
              <w:pStyle w:val="BodyTextIndent2"/>
              <w:ind w:firstLine="0"/>
              <w:jc w:val="center"/>
              <w:rPr>
                <w:color w:val="000000" w:themeColor="text1"/>
                <w:sz w:val="24"/>
                <w:szCs w:val="24"/>
              </w:rPr>
            </w:pPr>
            <w:r>
              <w:rPr>
                <w:color w:val="000000" w:themeColor="text1"/>
                <w:sz w:val="24"/>
                <w:szCs w:val="24"/>
              </w:rPr>
              <w:t>MilSpec</w:t>
            </w:r>
          </w:p>
        </w:tc>
        <w:tc>
          <w:tcPr>
            <w:tcW w:w="2475" w:type="dxa"/>
          </w:tcPr>
          <w:p w14:paraId="6BDC4DAF" w14:textId="2D4B7ACA" w:rsidR="005C617C" w:rsidRDefault="009C000D" w:rsidP="0049419B">
            <w:pPr>
              <w:pStyle w:val="BodyTextIndent2"/>
              <w:ind w:firstLine="0"/>
              <w:jc w:val="center"/>
              <w:rPr>
                <w:color w:val="000000" w:themeColor="text1"/>
                <w:sz w:val="24"/>
                <w:szCs w:val="24"/>
              </w:rPr>
            </w:pPr>
            <w:r>
              <w:rPr>
                <w:color w:val="000000" w:themeColor="text1"/>
                <w:sz w:val="24"/>
                <w:szCs w:val="24"/>
              </w:rPr>
              <w:t>Ref AFFF</w:t>
            </w:r>
          </w:p>
        </w:tc>
        <w:tc>
          <w:tcPr>
            <w:tcW w:w="1890" w:type="dxa"/>
          </w:tcPr>
          <w:p w14:paraId="7D9D16FA" w14:textId="5D1EDD36" w:rsidR="005C617C" w:rsidRDefault="009C000D" w:rsidP="0049419B">
            <w:pPr>
              <w:pStyle w:val="BodyTextIndent2"/>
              <w:ind w:firstLine="0"/>
              <w:jc w:val="center"/>
              <w:rPr>
                <w:color w:val="000000" w:themeColor="text1"/>
                <w:sz w:val="24"/>
                <w:szCs w:val="24"/>
              </w:rPr>
            </w:pPr>
            <w:r>
              <w:rPr>
                <w:color w:val="000000" w:themeColor="text1"/>
                <w:sz w:val="24"/>
                <w:szCs w:val="24"/>
              </w:rPr>
              <w:t>7.35</w:t>
            </w:r>
          </w:p>
        </w:tc>
        <w:tc>
          <w:tcPr>
            <w:tcW w:w="2430" w:type="dxa"/>
          </w:tcPr>
          <w:p w14:paraId="0E875DF3" w14:textId="03CD412E" w:rsidR="005C617C" w:rsidRDefault="009C000D" w:rsidP="0049419B">
            <w:pPr>
              <w:pStyle w:val="BodyTextIndent2"/>
              <w:ind w:firstLine="0"/>
              <w:jc w:val="center"/>
              <w:rPr>
                <w:color w:val="000000" w:themeColor="text1"/>
                <w:sz w:val="24"/>
                <w:szCs w:val="24"/>
              </w:rPr>
            </w:pPr>
            <w:r>
              <w:rPr>
                <w:color w:val="000000" w:themeColor="text1"/>
                <w:sz w:val="24"/>
                <w:szCs w:val="24"/>
              </w:rPr>
              <w:t>0.16 ± 0.04</w:t>
            </w:r>
          </w:p>
        </w:tc>
        <w:tc>
          <w:tcPr>
            <w:tcW w:w="1980" w:type="dxa"/>
          </w:tcPr>
          <w:p w14:paraId="7A2BE0C1" w14:textId="0A5B906A" w:rsidR="005C617C" w:rsidRDefault="009C000D" w:rsidP="0049419B">
            <w:pPr>
              <w:pStyle w:val="BodyTextIndent2"/>
              <w:ind w:firstLine="0"/>
              <w:jc w:val="center"/>
              <w:rPr>
                <w:color w:val="000000" w:themeColor="text1"/>
                <w:sz w:val="24"/>
                <w:szCs w:val="24"/>
              </w:rPr>
            </w:pPr>
            <w:r>
              <w:rPr>
                <w:color w:val="000000" w:themeColor="text1"/>
                <w:sz w:val="24"/>
                <w:szCs w:val="24"/>
              </w:rPr>
              <w:t>213</w:t>
            </w:r>
          </w:p>
        </w:tc>
      </w:tr>
      <w:tr w:rsidR="005C617C" w:rsidRPr="008A1835" w14:paraId="4A624D35" w14:textId="77777777" w:rsidTr="007755F5">
        <w:trPr>
          <w:trHeight w:val="187"/>
        </w:trPr>
        <w:tc>
          <w:tcPr>
            <w:tcW w:w="1030" w:type="dxa"/>
            <w:vMerge/>
          </w:tcPr>
          <w:p w14:paraId="24A7204F" w14:textId="77777777" w:rsidR="005C617C" w:rsidRDefault="005C617C" w:rsidP="0049419B">
            <w:pPr>
              <w:pStyle w:val="BodyTextIndent2"/>
              <w:ind w:firstLine="0"/>
              <w:jc w:val="center"/>
              <w:rPr>
                <w:color w:val="000000" w:themeColor="text1"/>
                <w:sz w:val="24"/>
                <w:szCs w:val="24"/>
              </w:rPr>
            </w:pPr>
            <w:commentRangeStart w:id="1"/>
          </w:p>
        </w:tc>
        <w:commentRangeEnd w:id="1"/>
        <w:tc>
          <w:tcPr>
            <w:tcW w:w="2475" w:type="dxa"/>
          </w:tcPr>
          <w:p w14:paraId="3A8F34E4" w14:textId="79381E22" w:rsidR="005C617C" w:rsidRDefault="009C000D" w:rsidP="0049419B">
            <w:pPr>
              <w:pStyle w:val="BodyTextIndent2"/>
              <w:ind w:firstLine="0"/>
              <w:jc w:val="center"/>
              <w:rPr>
                <w:color w:val="000000" w:themeColor="text1"/>
                <w:sz w:val="24"/>
                <w:szCs w:val="24"/>
              </w:rPr>
            </w:pPr>
            <w:r>
              <w:rPr>
                <w:color w:val="000000" w:themeColor="text1"/>
                <w:sz w:val="24"/>
                <w:szCs w:val="24"/>
              </w:rPr>
              <w:t>Commercial (FomTec)</w:t>
            </w:r>
            <w:r w:rsidR="008E129E">
              <w:rPr>
                <w:rStyle w:val="CommentReference"/>
              </w:rPr>
              <w:commentReference w:id="1"/>
            </w:r>
          </w:p>
        </w:tc>
        <w:tc>
          <w:tcPr>
            <w:tcW w:w="1890" w:type="dxa"/>
          </w:tcPr>
          <w:p w14:paraId="22ECEDEA" w14:textId="29BD4F15" w:rsidR="005C617C" w:rsidRDefault="009C000D" w:rsidP="0049419B">
            <w:pPr>
              <w:pStyle w:val="BodyTextIndent2"/>
              <w:ind w:firstLine="0"/>
              <w:jc w:val="center"/>
              <w:rPr>
                <w:color w:val="000000" w:themeColor="text1"/>
                <w:sz w:val="24"/>
                <w:szCs w:val="24"/>
              </w:rPr>
            </w:pPr>
            <w:r>
              <w:rPr>
                <w:color w:val="000000" w:themeColor="text1"/>
                <w:sz w:val="24"/>
                <w:szCs w:val="24"/>
              </w:rPr>
              <w:t>7.6</w:t>
            </w:r>
          </w:p>
        </w:tc>
        <w:tc>
          <w:tcPr>
            <w:tcW w:w="2430" w:type="dxa"/>
          </w:tcPr>
          <w:p w14:paraId="766FF0BD" w14:textId="4D873802" w:rsidR="005C617C" w:rsidRDefault="009C000D" w:rsidP="0049419B">
            <w:pPr>
              <w:pStyle w:val="BodyTextIndent2"/>
              <w:ind w:firstLine="0"/>
              <w:jc w:val="center"/>
              <w:rPr>
                <w:color w:val="000000" w:themeColor="text1"/>
                <w:sz w:val="24"/>
                <w:szCs w:val="24"/>
              </w:rPr>
            </w:pPr>
            <w:r>
              <w:rPr>
                <w:color w:val="000000" w:themeColor="text1"/>
                <w:sz w:val="24"/>
                <w:szCs w:val="24"/>
              </w:rPr>
              <w:t>0.18 ± 0.04</w:t>
            </w:r>
          </w:p>
        </w:tc>
        <w:tc>
          <w:tcPr>
            <w:tcW w:w="1980" w:type="dxa"/>
          </w:tcPr>
          <w:p w14:paraId="3F736E7B" w14:textId="58E66044" w:rsidR="005C617C" w:rsidRDefault="009C000D" w:rsidP="0049419B">
            <w:pPr>
              <w:pStyle w:val="BodyTextIndent2"/>
              <w:ind w:firstLine="0"/>
              <w:jc w:val="center"/>
              <w:rPr>
                <w:color w:val="000000" w:themeColor="text1"/>
                <w:sz w:val="24"/>
                <w:szCs w:val="24"/>
              </w:rPr>
            </w:pPr>
            <w:r>
              <w:rPr>
                <w:color w:val="000000" w:themeColor="text1"/>
                <w:sz w:val="24"/>
                <w:szCs w:val="24"/>
              </w:rPr>
              <w:t>254</w:t>
            </w:r>
          </w:p>
        </w:tc>
      </w:tr>
    </w:tbl>
    <w:p w14:paraId="3838D301" w14:textId="77777777" w:rsidR="001B44DB" w:rsidRDefault="001B44DB" w:rsidP="00331572">
      <w:pPr>
        <w:pStyle w:val="BodyTextIndent2"/>
        <w:ind w:firstLine="0"/>
        <w:rPr>
          <w:sz w:val="24"/>
          <w:szCs w:val="24"/>
        </w:rPr>
      </w:pPr>
    </w:p>
    <w:p w14:paraId="7703A4A7" w14:textId="70119589" w:rsidR="00564E45" w:rsidRDefault="00F04348" w:rsidP="00BB1D4C">
      <w:pPr>
        <w:pStyle w:val="BodyTextIndent2"/>
        <w:spacing w:before="120" w:after="120"/>
        <w:ind w:firstLine="0"/>
        <w:jc w:val="left"/>
        <w:rPr>
          <w:sz w:val="24"/>
          <w:szCs w:val="24"/>
        </w:rPr>
      </w:pPr>
      <w:r>
        <w:rPr>
          <w:sz w:val="24"/>
          <w:szCs w:val="24"/>
        </w:rPr>
        <w:t>Table 2 shows that the two foams</w:t>
      </w:r>
      <w:r w:rsidR="00564E45">
        <w:rPr>
          <w:sz w:val="24"/>
          <w:szCs w:val="24"/>
        </w:rPr>
        <w:t xml:space="preserve"> have similar p</w:t>
      </w:r>
      <w:r w:rsidR="00BB1D4C">
        <w:rPr>
          <w:sz w:val="24"/>
          <w:szCs w:val="24"/>
        </w:rPr>
        <w:t>roperties when generated in-</w:t>
      </w:r>
      <w:r w:rsidR="00564E45">
        <w:rPr>
          <w:sz w:val="24"/>
          <w:szCs w:val="24"/>
        </w:rPr>
        <w:t xml:space="preserve">lab or </w:t>
      </w:r>
      <w:r w:rsidR="00653845">
        <w:rPr>
          <w:sz w:val="24"/>
          <w:szCs w:val="24"/>
        </w:rPr>
        <w:t>during</w:t>
      </w:r>
      <w:r w:rsidR="00564E45">
        <w:rPr>
          <w:sz w:val="24"/>
          <w:szCs w:val="24"/>
        </w:rPr>
        <w:t xml:space="preserve"> MilSpec testing, but </w:t>
      </w:r>
      <w:r>
        <w:rPr>
          <w:sz w:val="24"/>
          <w:szCs w:val="24"/>
        </w:rPr>
        <w:t xml:space="preserve">disagree between </w:t>
      </w:r>
      <w:r w:rsidR="00564E45">
        <w:rPr>
          <w:sz w:val="24"/>
          <w:szCs w:val="24"/>
        </w:rPr>
        <w:t>the two generat</w:t>
      </w:r>
      <w:r>
        <w:rPr>
          <w:sz w:val="24"/>
          <w:szCs w:val="24"/>
        </w:rPr>
        <w:t>ion methods</w:t>
      </w:r>
      <w:r w:rsidR="00564E45">
        <w:rPr>
          <w:sz w:val="24"/>
          <w:szCs w:val="24"/>
        </w:rPr>
        <w:t xml:space="preserve">. </w:t>
      </w:r>
      <w:r>
        <w:rPr>
          <w:sz w:val="24"/>
          <w:szCs w:val="24"/>
        </w:rPr>
        <w:t>In-lab generation</w:t>
      </w:r>
      <w:r w:rsidR="00564E45">
        <w:rPr>
          <w:sz w:val="24"/>
          <w:szCs w:val="24"/>
        </w:rPr>
        <w:t xml:space="preserve"> produce</w:t>
      </w:r>
      <w:r>
        <w:rPr>
          <w:sz w:val="24"/>
          <w:szCs w:val="24"/>
        </w:rPr>
        <w:t>d</w:t>
      </w:r>
      <w:r w:rsidR="00564E45">
        <w:rPr>
          <w:sz w:val="24"/>
          <w:szCs w:val="24"/>
        </w:rPr>
        <w:t xml:space="preserve"> dryer foams with th</w:t>
      </w:r>
      <w:r>
        <w:rPr>
          <w:sz w:val="24"/>
          <w:szCs w:val="24"/>
        </w:rPr>
        <w:t>e reference AFFF not passing</w:t>
      </w:r>
      <w:r w:rsidR="00564E45">
        <w:rPr>
          <w:sz w:val="24"/>
          <w:szCs w:val="24"/>
        </w:rPr>
        <w:t xml:space="preserve"> MilSpec criteria fo</w:t>
      </w:r>
      <w:r w:rsidR="00BB1D4C">
        <w:rPr>
          <w:sz w:val="24"/>
          <w:szCs w:val="24"/>
        </w:rPr>
        <w:t>r expansion ratio (5-10)</w:t>
      </w:r>
      <w:r w:rsidR="00564E45">
        <w:rPr>
          <w:sz w:val="24"/>
          <w:szCs w:val="24"/>
        </w:rPr>
        <w:t>, but meet</w:t>
      </w:r>
      <w:r>
        <w:rPr>
          <w:sz w:val="24"/>
          <w:szCs w:val="24"/>
        </w:rPr>
        <w:t>ing the criteria during MilSpec</w:t>
      </w:r>
      <w:r w:rsidR="006235E9">
        <w:rPr>
          <w:sz w:val="24"/>
          <w:szCs w:val="24"/>
        </w:rPr>
        <w:t xml:space="preserve"> gener</w:t>
      </w:r>
      <w:r>
        <w:rPr>
          <w:sz w:val="24"/>
          <w:szCs w:val="24"/>
        </w:rPr>
        <w:t>ation</w:t>
      </w:r>
      <w:r w:rsidR="00564E45">
        <w:rPr>
          <w:sz w:val="24"/>
          <w:szCs w:val="24"/>
        </w:rPr>
        <w:t>. The bubble diameters produced in-lab were also larger than those compared to MilSpec generation</w:t>
      </w:r>
      <w:r w:rsidR="00187849">
        <w:rPr>
          <w:sz w:val="24"/>
          <w:szCs w:val="24"/>
        </w:rPr>
        <w:t xml:space="preserve"> and drained faster</w:t>
      </w:r>
      <w:r w:rsidR="00564E45">
        <w:rPr>
          <w:sz w:val="24"/>
          <w:szCs w:val="24"/>
        </w:rPr>
        <w:t xml:space="preserve">, but the bubble diameters </w:t>
      </w:r>
      <w:r w:rsidR="00187849">
        <w:rPr>
          <w:sz w:val="24"/>
          <w:szCs w:val="24"/>
        </w:rPr>
        <w:t xml:space="preserve">and liquid drainage rate </w:t>
      </w:r>
      <w:r w:rsidR="00564E45">
        <w:rPr>
          <w:sz w:val="24"/>
          <w:szCs w:val="24"/>
        </w:rPr>
        <w:t xml:space="preserve">of the two foams in MilSpec generation were very similar. </w:t>
      </w:r>
    </w:p>
    <w:p w14:paraId="61D08BF5" w14:textId="772C9BBC" w:rsidR="00842682" w:rsidRDefault="0043617D" w:rsidP="0043617D">
      <w:pPr>
        <w:pStyle w:val="BodyTextIndent2"/>
        <w:spacing w:before="120" w:after="120"/>
        <w:ind w:firstLine="0"/>
        <w:jc w:val="left"/>
        <w:rPr>
          <w:sz w:val="24"/>
          <w:szCs w:val="24"/>
        </w:rPr>
      </w:pPr>
      <w:r>
        <w:rPr>
          <w:sz w:val="24"/>
          <w:szCs w:val="24"/>
        </w:rPr>
        <w:t xml:space="preserve">     Despite</w:t>
      </w:r>
      <w:r w:rsidR="00842682">
        <w:rPr>
          <w:sz w:val="24"/>
          <w:szCs w:val="24"/>
        </w:rPr>
        <w:t xml:space="preserve"> similarities between the foam solution and foam properties of the reference and commercial AFFF’s, the reference AFFF could not meet MilSp</w:t>
      </w:r>
      <w:r w:rsidR="00AC14BE">
        <w:rPr>
          <w:sz w:val="24"/>
          <w:szCs w:val="24"/>
        </w:rPr>
        <w:t>ec criteria for fire extinction</w:t>
      </w:r>
      <w:r w:rsidR="00842682">
        <w:rPr>
          <w:sz w:val="24"/>
          <w:szCs w:val="24"/>
        </w:rPr>
        <w:t xml:space="preserve"> or burn</w:t>
      </w:r>
      <w:r w:rsidR="00F02110">
        <w:rPr>
          <w:sz w:val="24"/>
          <w:szCs w:val="24"/>
        </w:rPr>
        <w:t>-</w:t>
      </w:r>
      <w:r w:rsidR="00842682">
        <w:rPr>
          <w:sz w:val="24"/>
          <w:szCs w:val="24"/>
        </w:rPr>
        <w:t>back in the 28 ft</w:t>
      </w:r>
      <w:r w:rsidR="00842682">
        <w:rPr>
          <w:sz w:val="24"/>
          <w:szCs w:val="24"/>
          <w:vertAlign w:val="superscript"/>
        </w:rPr>
        <w:t>2</w:t>
      </w:r>
      <w:r w:rsidR="00842682">
        <w:rPr>
          <w:sz w:val="24"/>
          <w:szCs w:val="24"/>
        </w:rPr>
        <w:t xml:space="preserve"> </w:t>
      </w:r>
      <w:r w:rsidR="00911F14">
        <w:rPr>
          <w:sz w:val="24"/>
          <w:szCs w:val="24"/>
        </w:rPr>
        <w:t xml:space="preserve">gasoline </w:t>
      </w:r>
      <w:r w:rsidR="00842682">
        <w:rPr>
          <w:sz w:val="24"/>
          <w:szCs w:val="24"/>
        </w:rPr>
        <w:t>pool fire test. Fire perform</w:t>
      </w:r>
      <w:r w:rsidR="007755F5">
        <w:rPr>
          <w:sz w:val="24"/>
          <w:szCs w:val="24"/>
        </w:rPr>
        <w:t>ance results are tabulated</w:t>
      </w:r>
      <w:r w:rsidR="00842682">
        <w:rPr>
          <w:sz w:val="24"/>
          <w:szCs w:val="24"/>
        </w:rPr>
        <w:t xml:space="preserve"> in Table 3. </w:t>
      </w:r>
    </w:p>
    <w:p w14:paraId="1896286C" w14:textId="77777777" w:rsidR="00842682" w:rsidRDefault="00842682" w:rsidP="0043617D">
      <w:pPr>
        <w:pStyle w:val="BodyTextIndent2"/>
        <w:ind w:firstLine="0"/>
        <w:jc w:val="left"/>
        <w:rPr>
          <w:sz w:val="24"/>
          <w:szCs w:val="24"/>
        </w:rPr>
      </w:pPr>
      <w:r>
        <w:rPr>
          <w:sz w:val="24"/>
          <w:szCs w:val="24"/>
        </w:rPr>
        <w:t>Table 3. MilSpec fire performance results for the reference AFFF and FomTec 3%</w:t>
      </w:r>
    </w:p>
    <w:tbl>
      <w:tblPr>
        <w:tblStyle w:val="TableGrid"/>
        <w:tblW w:w="0" w:type="auto"/>
        <w:tblLook w:val="04A0" w:firstRow="1" w:lastRow="0" w:firstColumn="1" w:lastColumn="0" w:noHBand="0" w:noVBand="1"/>
      </w:tblPr>
      <w:tblGrid>
        <w:gridCol w:w="2423"/>
        <w:gridCol w:w="2309"/>
        <w:gridCol w:w="2309"/>
        <w:gridCol w:w="2309"/>
      </w:tblGrid>
      <w:tr w:rsidR="00842682" w14:paraId="33C0F95D" w14:textId="77777777" w:rsidTr="00842682">
        <w:tc>
          <w:tcPr>
            <w:tcW w:w="2423" w:type="dxa"/>
          </w:tcPr>
          <w:p w14:paraId="539978B9" w14:textId="77777777" w:rsidR="00842682" w:rsidRDefault="00842682" w:rsidP="00842682">
            <w:pPr>
              <w:pStyle w:val="BodyTextIndent2"/>
              <w:ind w:firstLine="0"/>
              <w:jc w:val="center"/>
              <w:rPr>
                <w:sz w:val="24"/>
                <w:szCs w:val="24"/>
              </w:rPr>
            </w:pPr>
            <w:r>
              <w:rPr>
                <w:sz w:val="24"/>
                <w:szCs w:val="24"/>
              </w:rPr>
              <w:t>Test</w:t>
            </w:r>
          </w:p>
        </w:tc>
        <w:tc>
          <w:tcPr>
            <w:tcW w:w="2309" w:type="dxa"/>
          </w:tcPr>
          <w:p w14:paraId="41B9219B" w14:textId="77777777" w:rsidR="00842682" w:rsidRDefault="00842682" w:rsidP="00842682">
            <w:pPr>
              <w:pStyle w:val="BodyTextIndent2"/>
              <w:ind w:firstLine="0"/>
              <w:jc w:val="center"/>
              <w:rPr>
                <w:sz w:val="24"/>
                <w:szCs w:val="24"/>
              </w:rPr>
            </w:pPr>
            <w:r>
              <w:rPr>
                <w:sz w:val="24"/>
                <w:szCs w:val="24"/>
              </w:rPr>
              <w:t>MilSpec Criteria</w:t>
            </w:r>
          </w:p>
        </w:tc>
        <w:tc>
          <w:tcPr>
            <w:tcW w:w="2309" w:type="dxa"/>
          </w:tcPr>
          <w:p w14:paraId="764B0D53" w14:textId="77777777" w:rsidR="00842682" w:rsidRDefault="00842682" w:rsidP="00842682">
            <w:pPr>
              <w:pStyle w:val="BodyTextIndent2"/>
              <w:ind w:firstLine="0"/>
              <w:jc w:val="center"/>
              <w:rPr>
                <w:sz w:val="24"/>
                <w:szCs w:val="24"/>
              </w:rPr>
            </w:pPr>
            <w:r>
              <w:rPr>
                <w:sz w:val="24"/>
                <w:szCs w:val="24"/>
              </w:rPr>
              <w:t>FomTec</w:t>
            </w:r>
          </w:p>
        </w:tc>
        <w:tc>
          <w:tcPr>
            <w:tcW w:w="2309" w:type="dxa"/>
          </w:tcPr>
          <w:p w14:paraId="384B1713" w14:textId="77777777" w:rsidR="00842682" w:rsidRDefault="00842682" w:rsidP="00842682">
            <w:pPr>
              <w:pStyle w:val="BodyTextIndent2"/>
              <w:ind w:firstLine="0"/>
              <w:jc w:val="center"/>
              <w:rPr>
                <w:sz w:val="24"/>
                <w:szCs w:val="24"/>
              </w:rPr>
            </w:pPr>
            <w:r>
              <w:rPr>
                <w:sz w:val="24"/>
                <w:szCs w:val="24"/>
              </w:rPr>
              <w:t>Ref AFFF</w:t>
            </w:r>
          </w:p>
        </w:tc>
      </w:tr>
      <w:tr w:rsidR="00842682" w14:paraId="35AA1F5A" w14:textId="77777777" w:rsidTr="00842682">
        <w:tc>
          <w:tcPr>
            <w:tcW w:w="2423" w:type="dxa"/>
          </w:tcPr>
          <w:p w14:paraId="0D2B26E0" w14:textId="77777777" w:rsidR="00842682" w:rsidRPr="00842682" w:rsidRDefault="00842682" w:rsidP="00842682">
            <w:pPr>
              <w:pStyle w:val="BodyTextIndent2"/>
              <w:ind w:firstLine="0"/>
              <w:jc w:val="center"/>
              <w:rPr>
                <w:sz w:val="24"/>
                <w:szCs w:val="24"/>
              </w:rPr>
            </w:pPr>
            <w:r>
              <w:rPr>
                <w:sz w:val="24"/>
                <w:szCs w:val="24"/>
              </w:rPr>
              <w:t>Extinction Time (s)</w:t>
            </w:r>
          </w:p>
        </w:tc>
        <w:tc>
          <w:tcPr>
            <w:tcW w:w="2309" w:type="dxa"/>
          </w:tcPr>
          <w:p w14:paraId="4B7F1ACB" w14:textId="77777777" w:rsidR="00842682" w:rsidRDefault="002340EE" w:rsidP="00842682">
            <w:pPr>
              <w:pStyle w:val="BodyTextIndent2"/>
              <w:ind w:firstLine="0"/>
              <w:jc w:val="center"/>
              <w:rPr>
                <w:sz w:val="24"/>
                <w:szCs w:val="24"/>
              </w:rPr>
            </w:pPr>
            <w:r>
              <w:rPr>
                <w:sz w:val="24"/>
                <w:szCs w:val="24"/>
              </w:rPr>
              <w:t xml:space="preserve">&lt; </w:t>
            </w:r>
            <w:r w:rsidR="00842682">
              <w:rPr>
                <w:sz w:val="24"/>
                <w:szCs w:val="24"/>
              </w:rPr>
              <w:t xml:space="preserve">30 </w:t>
            </w:r>
          </w:p>
        </w:tc>
        <w:tc>
          <w:tcPr>
            <w:tcW w:w="2309" w:type="dxa"/>
          </w:tcPr>
          <w:p w14:paraId="6633B928" w14:textId="77777777" w:rsidR="00842682" w:rsidRDefault="002340EE" w:rsidP="00842682">
            <w:pPr>
              <w:pStyle w:val="BodyTextIndent2"/>
              <w:ind w:firstLine="0"/>
              <w:jc w:val="center"/>
              <w:rPr>
                <w:sz w:val="24"/>
                <w:szCs w:val="24"/>
              </w:rPr>
            </w:pPr>
            <w:r>
              <w:rPr>
                <w:sz w:val="24"/>
                <w:szCs w:val="24"/>
              </w:rPr>
              <w:t>23</w:t>
            </w:r>
          </w:p>
        </w:tc>
        <w:tc>
          <w:tcPr>
            <w:tcW w:w="2309" w:type="dxa"/>
          </w:tcPr>
          <w:p w14:paraId="69532472" w14:textId="77777777" w:rsidR="00842682" w:rsidRDefault="002340EE" w:rsidP="00842682">
            <w:pPr>
              <w:pStyle w:val="BodyTextIndent2"/>
              <w:ind w:firstLine="0"/>
              <w:jc w:val="center"/>
              <w:rPr>
                <w:sz w:val="24"/>
                <w:szCs w:val="24"/>
              </w:rPr>
            </w:pPr>
            <w:r>
              <w:rPr>
                <w:sz w:val="24"/>
                <w:szCs w:val="24"/>
              </w:rPr>
              <w:t>54</w:t>
            </w:r>
          </w:p>
        </w:tc>
      </w:tr>
      <w:tr w:rsidR="00842682" w14:paraId="2B1EB619" w14:textId="77777777" w:rsidTr="00842682">
        <w:tc>
          <w:tcPr>
            <w:tcW w:w="2423" w:type="dxa"/>
          </w:tcPr>
          <w:p w14:paraId="5A8195C9" w14:textId="055F72D0" w:rsidR="00842682" w:rsidRDefault="00842682" w:rsidP="00842682">
            <w:pPr>
              <w:pStyle w:val="BodyTextIndent2"/>
              <w:ind w:firstLine="0"/>
              <w:jc w:val="center"/>
              <w:rPr>
                <w:sz w:val="24"/>
                <w:szCs w:val="24"/>
              </w:rPr>
            </w:pPr>
            <w:r>
              <w:rPr>
                <w:sz w:val="24"/>
                <w:szCs w:val="24"/>
              </w:rPr>
              <w:t>Burn</w:t>
            </w:r>
            <w:r w:rsidR="00F02110">
              <w:rPr>
                <w:sz w:val="24"/>
                <w:szCs w:val="24"/>
              </w:rPr>
              <w:t>-</w:t>
            </w:r>
            <w:r>
              <w:rPr>
                <w:sz w:val="24"/>
                <w:szCs w:val="24"/>
              </w:rPr>
              <w:t>back Time (s)</w:t>
            </w:r>
          </w:p>
        </w:tc>
        <w:tc>
          <w:tcPr>
            <w:tcW w:w="2309" w:type="dxa"/>
          </w:tcPr>
          <w:p w14:paraId="385C34E9" w14:textId="77777777" w:rsidR="00842682" w:rsidRDefault="002340EE" w:rsidP="002340EE">
            <w:pPr>
              <w:pStyle w:val="BodyTextIndent2"/>
              <w:jc w:val="center"/>
              <w:rPr>
                <w:sz w:val="24"/>
                <w:szCs w:val="24"/>
              </w:rPr>
            </w:pPr>
            <w:r w:rsidRPr="002340EE">
              <w:rPr>
                <w:sz w:val="24"/>
                <w:szCs w:val="24"/>
              </w:rPr>
              <w:t>&gt;</w:t>
            </w:r>
            <w:r>
              <w:rPr>
                <w:sz w:val="24"/>
                <w:szCs w:val="24"/>
              </w:rPr>
              <w:t xml:space="preserve"> </w:t>
            </w:r>
            <w:r w:rsidR="00842682">
              <w:rPr>
                <w:sz w:val="24"/>
                <w:szCs w:val="24"/>
              </w:rPr>
              <w:t xml:space="preserve">360 </w:t>
            </w:r>
          </w:p>
        </w:tc>
        <w:tc>
          <w:tcPr>
            <w:tcW w:w="2309" w:type="dxa"/>
          </w:tcPr>
          <w:p w14:paraId="44668FE8" w14:textId="77777777" w:rsidR="00842682" w:rsidRDefault="002340EE" w:rsidP="00842682">
            <w:pPr>
              <w:pStyle w:val="BodyTextIndent2"/>
              <w:ind w:firstLine="0"/>
              <w:jc w:val="center"/>
              <w:rPr>
                <w:sz w:val="24"/>
                <w:szCs w:val="24"/>
              </w:rPr>
            </w:pPr>
            <w:r>
              <w:rPr>
                <w:sz w:val="24"/>
                <w:szCs w:val="24"/>
              </w:rPr>
              <w:t>496</w:t>
            </w:r>
          </w:p>
        </w:tc>
        <w:tc>
          <w:tcPr>
            <w:tcW w:w="2309" w:type="dxa"/>
          </w:tcPr>
          <w:p w14:paraId="2DAB9924" w14:textId="77777777" w:rsidR="00842682" w:rsidRDefault="002340EE" w:rsidP="00842682">
            <w:pPr>
              <w:pStyle w:val="BodyTextIndent2"/>
              <w:ind w:firstLine="0"/>
              <w:jc w:val="center"/>
              <w:rPr>
                <w:sz w:val="24"/>
                <w:szCs w:val="24"/>
              </w:rPr>
            </w:pPr>
            <w:r>
              <w:rPr>
                <w:sz w:val="24"/>
                <w:szCs w:val="24"/>
              </w:rPr>
              <w:t>295</w:t>
            </w:r>
          </w:p>
        </w:tc>
      </w:tr>
      <w:tr w:rsidR="00842682" w14:paraId="1244B4CE" w14:textId="77777777" w:rsidTr="00842682">
        <w:tc>
          <w:tcPr>
            <w:tcW w:w="2423" w:type="dxa"/>
          </w:tcPr>
          <w:p w14:paraId="543CA384" w14:textId="77777777" w:rsidR="00842682" w:rsidRDefault="00842682" w:rsidP="00842682">
            <w:pPr>
              <w:pStyle w:val="BodyTextIndent2"/>
              <w:ind w:firstLine="0"/>
              <w:jc w:val="center"/>
              <w:rPr>
                <w:sz w:val="24"/>
                <w:szCs w:val="24"/>
              </w:rPr>
            </w:pPr>
            <w:r>
              <w:rPr>
                <w:sz w:val="24"/>
                <w:szCs w:val="24"/>
              </w:rPr>
              <w:lastRenderedPageBreak/>
              <w:t>Film and Seal (s)</w:t>
            </w:r>
          </w:p>
        </w:tc>
        <w:tc>
          <w:tcPr>
            <w:tcW w:w="2309" w:type="dxa"/>
          </w:tcPr>
          <w:p w14:paraId="3559CEE7" w14:textId="77777777" w:rsidR="00842682" w:rsidRDefault="002340EE" w:rsidP="002340EE">
            <w:pPr>
              <w:pStyle w:val="BodyTextIndent2"/>
              <w:ind w:firstLine="0"/>
              <w:jc w:val="center"/>
              <w:rPr>
                <w:sz w:val="24"/>
                <w:szCs w:val="24"/>
              </w:rPr>
            </w:pPr>
            <w:r>
              <w:rPr>
                <w:sz w:val="24"/>
                <w:szCs w:val="24"/>
              </w:rPr>
              <w:t>No flame</w:t>
            </w:r>
          </w:p>
        </w:tc>
        <w:tc>
          <w:tcPr>
            <w:tcW w:w="2309" w:type="dxa"/>
          </w:tcPr>
          <w:p w14:paraId="5163467D" w14:textId="77777777" w:rsidR="00842682" w:rsidRDefault="002340EE" w:rsidP="00842682">
            <w:pPr>
              <w:pStyle w:val="BodyTextIndent2"/>
              <w:ind w:firstLine="0"/>
              <w:jc w:val="center"/>
              <w:rPr>
                <w:sz w:val="24"/>
                <w:szCs w:val="24"/>
              </w:rPr>
            </w:pPr>
            <w:r>
              <w:rPr>
                <w:sz w:val="24"/>
                <w:szCs w:val="24"/>
              </w:rPr>
              <w:t>No flame</w:t>
            </w:r>
          </w:p>
        </w:tc>
        <w:tc>
          <w:tcPr>
            <w:tcW w:w="2309" w:type="dxa"/>
          </w:tcPr>
          <w:p w14:paraId="689409B1" w14:textId="77777777" w:rsidR="00842682" w:rsidRDefault="002340EE" w:rsidP="00842682">
            <w:pPr>
              <w:pStyle w:val="BodyTextIndent2"/>
              <w:ind w:firstLine="0"/>
              <w:jc w:val="center"/>
              <w:rPr>
                <w:sz w:val="24"/>
                <w:szCs w:val="24"/>
              </w:rPr>
            </w:pPr>
            <w:r>
              <w:rPr>
                <w:sz w:val="24"/>
                <w:szCs w:val="24"/>
              </w:rPr>
              <w:t>No flame</w:t>
            </w:r>
          </w:p>
        </w:tc>
      </w:tr>
    </w:tbl>
    <w:p w14:paraId="70D8ECB8" w14:textId="77777777" w:rsidR="00842682" w:rsidRDefault="00842682" w:rsidP="001B44DB">
      <w:pPr>
        <w:pStyle w:val="BodyTextIndent2"/>
        <w:ind w:firstLine="0"/>
        <w:jc w:val="left"/>
        <w:rPr>
          <w:sz w:val="24"/>
          <w:szCs w:val="24"/>
        </w:rPr>
      </w:pPr>
    </w:p>
    <w:p w14:paraId="4CFE3D4A" w14:textId="5D9FC2E9" w:rsidR="00564E45" w:rsidRDefault="00911F14" w:rsidP="0043617D">
      <w:pPr>
        <w:pStyle w:val="BodyTextIndent2"/>
        <w:spacing w:before="120" w:after="120"/>
        <w:ind w:firstLine="0"/>
        <w:jc w:val="left"/>
        <w:rPr>
          <w:sz w:val="24"/>
          <w:szCs w:val="24"/>
        </w:rPr>
      </w:pPr>
      <w:r>
        <w:rPr>
          <w:sz w:val="24"/>
          <w:szCs w:val="24"/>
        </w:rPr>
        <w:t>The reference AFFF extinguished the flame in 54 seconds while the commercial AFFF extinguished the fla</w:t>
      </w:r>
      <w:r w:rsidR="00496DFE">
        <w:rPr>
          <w:sz w:val="24"/>
          <w:szCs w:val="24"/>
        </w:rPr>
        <w:t>me in 23 seconds</w:t>
      </w:r>
      <w:r>
        <w:rPr>
          <w:sz w:val="24"/>
          <w:szCs w:val="24"/>
        </w:rPr>
        <w:t>. However, the reference AFFF passed the film and seal test indicating a film was p</w:t>
      </w:r>
      <w:r w:rsidR="00496DFE">
        <w:rPr>
          <w:sz w:val="24"/>
          <w:szCs w:val="24"/>
        </w:rPr>
        <w:t xml:space="preserve">resent. </w:t>
      </w:r>
      <w:r>
        <w:rPr>
          <w:sz w:val="24"/>
          <w:szCs w:val="24"/>
        </w:rPr>
        <w:t>Because t</w:t>
      </w:r>
      <w:r w:rsidR="00496DFE">
        <w:rPr>
          <w:sz w:val="24"/>
          <w:szCs w:val="24"/>
        </w:rPr>
        <w:t>he foams</w:t>
      </w:r>
      <w:r>
        <w:rPr>
          <w:sz w:val="24"/>
          <w:szCs w:val="24"/>
        </w:rPr>
        <w:t xml:space="preserve"> </w:t>
      </w:r>
      <w:r w:rsidR="0033631A">
        <w:rPr>
          <w:sz w:val="24"/>
          <w:szCs w:val="24"/>
        </w:rPr>
        <w:t xml:space="preserve">showed </w:t>
      </w:r>
      <w:r>
        <w:rPr>
          <w:sz w:val="24"/>
          <w:szCs w:val="24"/>
        </w:rPr>
        <w:t>film formation but</w:t>
      </w:r>
      <w:r w:rsidR="00496DFE">
        <w:rPr>
          <w:sz w:val="24"/>
          <w:szCs w:val="24"/>
        </w:rPr>
        <w:t xml:space="preserve"> different extinction times,</w:t>
      </w:r>
      <w:r w:rsidR="00F04348">
        <w:rPr>
          <w:sz w:val="24"/>
          <w:szCs w:val="24"/>
        </w:rPr>
        <w:t xml:space="preserve"> extinction may be</w:t>
      </w:r>
      <w:r w:rsidR="00496DFE">
        <w:rPr>
          <w:sz w:val="24"/>
          <w:szCs w:val="24"/>
        </w:rPr>
        <w:t xml:space="preserve"> </w:t>
      </w:r>
      <w:r w:rsidR="004B0DF8">
        <w:rPr>
          <w:sz w:val="24"/>
          <w:szCs w:val="24"/>
        </w:rPr>
        <w:t>impacted by mechanisms</w:t>
      </w:r>
      <w:r>
        <w:rPr>
          <w:sz w:val="24"/>
          <w:szCs w:val="24"/>
        </w:rPr>
        <w:t xml:space="preserve"> other than film formation. </w:t>
      </w:r>
    </w:p>
    <w:p w14:paraId="50820FD5" w14:textId="481A6726" w:rsidR="00FA1B82" w:rsidRDefault="00A223B3" w:rsidP="00DB052F">
      <w:pPr>
        <w:pStyle w:val="BodyTextIndent2"/>
        <w:spacing w:before="120" w:after="120"/>
        <w:ind w:firstLine="0"/>
        <w:jc w:val="left"/>
        <w:rPr>
          <w:sz w:val="24"/>
          <w:szCs w:val="24"/>
        </w:rPr>
      </w:pPr>
      <w:r>
        <w:rPr>
          <w:sz w:val="24"/>
          <w:szCs w:val="24"/>
        </w:rPr>
        <w:t xml:space="preserve">     W</w:t>
      </w:r>
      <w:r w:rsidR="00F02110">
        <w:rPr>
          <w:sz w:val="24"/>
          <w:szCs w:val="24"/>
        </w:rPr>
        <w:t>e examined</w:t>
      </w:r>
      <w:r w:rsidR="00911F14">
        <w:rPr>
          <w:sz w:val="24"/>
          <w:szCs w:val="24"/>
        </w:rPr>
        <w:t xml:space="preserve"> foam degradation of the reference AFFF and National 3% over n-h</w:t>
      </w:r>
      <w:r w:rsidR="00331572">
        <w:rPr>
          <w:sz w:val="24"/>
          <w:szCs w:val="24"/>
        </w:rPr>
        <w:t>eptane, heated to 50°C. Figure 3</w:t>
      </w:r>
      <w:r w:rsidR="00911F14">
        <w:rPr>
          <w:sz w:val="24"/>
          <w:szCs w:val="24"/>
        </w:rPr>
        <w:t xml:space="preserve"> below plots the change in foam layer thickness over time. </w:t>
      </w:r>
      <w:r w:rsidR="009C3EC6">
        <w:rPr>
          <w:sz w:val="24"/>
          <w:szCs w:val="24"/>
        </w:rPr>
        <w:t xml:space="preserve">A -100% change in foam thickness indicates the foam has completely degraded from the fuel surface. </w:t>
      </w:r>
    </w:p>
    <w:p w14:paraId="28A630F4" w14:textId="143981FB" w:rsidR="00564E45" w:rsidRDefault="003E7666" w:rsidP="001B44DB">
      <w:pPr>
        <w:pStyle w:val="BodyTextIndent2"/>
        <w:ind w:firstLine="0"/>
        <w:jc w:val="left"/>
        <w:rPr>
          <w:sz w:val="24"/>
          <w:szCs w:val="24"/>
        </w:rPr>
      </w:pPr>
      <w:r>
        <w:rPr>
          <w:noProof/>
        </w:rPr>
        <w:drawing>
          <wp:inline distT="0" distB="0" distL="0" distR="0" wp14:anchorId="7D3C46FB" wp14:editId="623DE4F4">
            <wp:extent cx="5911850" cy="2413000"/>
            <wp:effectExtent l="0" t="0" r="0" b="6350"/>
            <wp:docPr id="5" name="Chart 5">
              <a:extLst xmlns:a="http://schemas.openxmlformats.org/drawingml/2006/main">
                <a:ext uri="{FF2B5EF4-FFF2-40B4-BE49-F238E27FC236}">
                  <a16:creationId xmlns:xdr="http://schemas.openxmlformats.org/drawingml/2006/spreadsheetDrawing" xmlns:a16="http://schemas.microsoft.com/office/drawing/2014/main" xmlns="" xmlns:lc="http://schemas.openxmlformats.org/drawingml/2006/lockedCanvas" id="{7E0A8F5F-6F5E-406A-918C-CF83319B9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B0BA90" w14:textId="77777777" w:rsidR="008B7F10" w:rsidRDefault="00331572" w:rsidP="00FA1B82">
      <w:pPr>
        <w:pStyle w:val="BodyTextIndent2"/>
        <w:jc w:val="center"/>
        <w:rPr>
          <w:sz w:val="24"/>
          <w:szCs w:val="24"/>
        </w:rPr>
      </w:pPr>
      <w:r>
        <w:rPr>
          <w:sz w:val="24"/>
          <w:szCs w:val="24"/>
        </w:rPr>
        <w:t>Figure 3</w:t>
      </w:r>
      <w:r w:rsidR="00653FD0">
        <w:rPr>
          <w:sz w:val="24"/>
          <w:szCs w:val="24"/>
        </w:rPr>
        <w:t>.</w:t>
      </w:r>
      <w:r w:rsidR="00FA1B82">
        <w:rPr>
          <w:sz w:val="24"/>
          <w:szCs w:val="24"/>
        </w:rPr>
        <w:t xml:space="preserve"> Percent change in foam thickness over time for the reference AFFF </w:t>
      </w:r>
      <w:r w:rsidR="0043617D">
        <w:rPr>
          <w:sz w:val="24"/>
          <w:szCs w:val="24"/>
        </w:rPr>
        <w:t>and National 3% foam</w:t>
      </w:r>
      <w:r w:rsidR="00FA1B82">
        <w:rPr>
          <w:sz w:val="24"/>
          <w:szCs w:val="24"/>
        </w:rPr>
        <w:t xml:space="preserve"> generated in-lab over 50°C heated n-heptane. </w:t>
      </w:r>
    </w:p>
    <w:p w14:paraId="38F1E973" w14:textId="77777777" w:rsidR="009C3EC6" w:rsidRDefault="009C3EC6" w:rsidP="00FA1B82">
      <w:pPr>
        <w:pStyle w:val="BodyTextIndent2"/>
        <w:jc w:val="center"/>
        <w:rPr>
          <w:sz w:val="24"/>
          <w:szCs w:val="24"/>
        </w:rPr>
      </w:pPr>
    </w:p>
    <w:p w14:paraId="3395B107" w14:textId="3F328D18" w:rsidR="009C3EC6" w:rsidRPr="00F24A33" w:rsidRDefault="009C3EC6" w:rsidP="009C3EC6">
      <w:pPr>
        <w:pStyle w:val="BodyTextIndent2"/>
        <w:jc w:val="left"/>
        <w:rPr>
          <w:sz w:val="24"/>
          <w:szCs w:val="24"/>
        </w:rPr>
      </w:pPr>
      <w:r>
        <w:rPr>
          <w:sz w:val="24"/>
          <w:szCs w:val="24"/>
        </w:rPr>
        <w:t xml:space="preserve">As seen in Figure </w:t>
      </w:r>
      <w:r w:rsidR="002A706C">
        <w:rPr>
          <w:sz w:val="24"/>
          <w:szCs w:val="24"/>
        </w:rPr>
        <w:t>3</w:t>
      </w:r>
      <w:r>
        <w:rPr>
          <w:sz w:val="24"/>
          <w:szCs w:val="24"/>
        </w:rPr>
        <w:t>, the referenc</w:t>
      </w:r>
      <w:r w:rsidR="00107DF4">
        <w:rPr>
          <w:sz w:val="24"/>
          <w:szCs w:val="24"/>
        </w:rPr>
        <w:t>e AFFF has a foam lifetime of 30</w:t>
      </w:r>
      <w:r>
        <w:rPr>
          <w:sz w:val="24"/>
          <w:szCs w:val="24"/>
        </w:rPr>
        <w:t xml:space="preserve"> minutes while</w:t>
      </w:r>
      <w:r w:rsidR="0043617D">
        <w:rPr>
          <w:sz w:val="24"/>
          <w:szCs w:val="24"/>
        </w:rPr>
        <w:t xml:space="preserve"> the commercial</w:t>
      </w:r>
      <w:r>
        <w:rPr>
          <w:sz w:val="24"/>
          <w:szCs w:val="24"/>
        </w:rPr>
        <w:t xml:space="preserve"> AFFF has a foam lifetime of 45 minutes over heated n-heptane. </w:t>
      </w:r>
      <w:r w:rsidR="002C0501">
        <w:rPr>
          <w:sz w:val="24"/>
          <w:szCs w:val="24"/>
        </w:rPr>
        <w:t xml:space="preserve">This is consistent with degradation observed in burn-back times shown in Table 3. </w:t>
      </w:r>
      <w:r>
        <w:rPr>
          <w:sz w:val="24"/>
          <w:szCs w:val="24"/>
        </w:rPr>
        <w:t xml:space="preserve">Foam degradation can impact a foams ability to effectively cover a fuel surface, creating a physical barrier between the fuel and the flame. Without effective foam cover, the fire cannot be suppressed, leading to differences in fire suppression due to differences in foam degradation. To improve the reference AFFF formulation, we must focus on properties that effect foam degradation instead of only focusing on properties that impact film formation. </w:t>
      </w:r>
    </w:p>
    <w:p w14:paraId="10B521A1" w14:textId="77777777" w:rsidR="009C3EC6" w:rsidRPr="007E5ABD" w:rsidRDefault="009C3EC6" w:rsidP="0043617D">
      <w:pPr>
        <w:spacing w:before="120" w:after="120"/>
        <w:rPr>
          <w:sz w:val="24"/>
          <w:szCs w:val="24"/>
        </w:rPr>
      </w:pPr>
    </w:p>
    <w:p w14:paraId="0FD7C6ED" w14:textId="77777777" w:rsidR="009C3EC6" w:rsidRPr="0043617D" w:rsidRDefault="000B51E2" w:rsidP="0043617D">
      <w:pPr>
        <w:pStyle w:val="BodyTextIndent2"/>
        <w:numPr>
          <w:ilvl w:val="0"/>
          <w:numId w:val="6"/>
        </w:numPr>
        <w:spacing w:before="120" w:after="120"/>
        <w:ind w:left="360"/>
        <w:rPr>
          <w:b/>
          <w:sz w:val="24"/>
          <w:szCs w:val="24"/>
        </w:rPr>
      </w:pPr>
      <w:r w:rsidRPr="007E5ABD">
        <w:rPr>
          <w:b/>
          <w:sz w:val="24"/>
          <w:szCs w:val="24"/>
        </w:rPr>
        <w:t>Conclusions</w:t>
      </w:r>
    </w:p>
    <w:p w14:paraId="63F736BB" w14:textId="261A79A7" w:rsidR="009C3EC6" w:rsidRDefault="009C3EC6" w:rsidP="0043617D">
      <w:pPr>
        <w:pStyle w:val="BodyTextIndent2"/>
        <w:spacing w:before="120" w:after="120"/>
        <w:ind w:left="86" w:firstLine="274"/>
        <w:rPr>
          <w:sz w:val="24"/>
          <w:szCs w:val="24"/>
        </w:rPr>
      </w:pPr>
      <w:r>
        <w:rPr>
          <w:sz w:val="24"/>
          <w:szCs w:val="24"/>
        </w:rPr>
        <w:t>To assist laboratory testing, a reference AFFF foam so</w:t>
      </w:r>
      <w:r w:rsidR="007755F5">
        <w:rPr>
          <w:sz w:val="24"/>
          <w:szCs w:val="24"/>
        </w:rPr>
        <w:t>lution was made</w:t>
      </w:r>
      <w:r>
        <w:rPr>
          <w:sz w:val="24"/>
          <w:szCs w:val="24"/>
        </w:rPr>
        <w:t>. The</w:t>
      </w:r>
      <w:r w:rsidR="0043617D">
        <w:rPr>
          <w:sz w:val="24"/>
          <w:szCs w:val="24"/>
        </w:rPr>
        <w:t xml:space="preserve"> reference AFFF formulation was 0.15 wt. % Capstone, 0.05 wt. </w:t>
      </w:r>
      <w:r>
        <w:rPr>
          <w:sz w:val="24"/>
          <w:szCs w:val="24"/>
        </w:rPr>
        <w:t>% Triton X-100, and 1%</w:t>
      </w:r>
      <w:r w:rsidR="007755F5">
        <w:rPr>
          <w:sz w:val="24"/>
          <w:szCs w:val="24"/>
        </w:rPr>
        <w:t xml:space="preserve"> by vol. DGBE</w:t>
      </w:r>
      <w:r w:rsidR="0043617D">
        <w:rPr>
          <w:sz w:val="24"/>
          <w:szCs w:val="24"/>
        </w:rPr>
        <w:t xml:space="preserve"> in aqueous solution</w:t>
      </w:r>
      <w:r>
        <w:rPr>
          <w:sz w:val="24"/>
          <w:szCs w:val="24"/>
        </w:rPr>
        <w:t xml:space="preserve">. The </w:t>
      </w:r>
      <w:r w:rsidR="00761CAF">
        <w:rPr>
          <w:sz w:val="24"/>
          <w:szCs w:val="24"/>
        </w:rPr>
        <w:t>r</w:t>
      </w:r>
      <w:r w:rsidR="00CA6AF8">
        <w:rPr>
          <w:sz w:val="24"/>
          <w:szCs w:val="24"/>
        </w:rPr>
        <w:t xml:space="preserve">eference AFFF </w:t>
      </w:r>
      <w:r>
        <w:rPr>
          <w:sz w:val="24"/>
          <w:szCs w:val="24"/>
        </w:rPr>
        <w:t>foam s</w:t>
      </w:r>
      <w:r w:rsidR="0043617D">
        <w:rPr>
          <w:sz w:val="24"/>
          <w:szCs w:val="24"/>
        </w:rPr>
        <w:t>olution</w:t>
      </w:r>
      <w:r>
        <w:rPr>
          <w:sz w:val="24"/>
          <w:szCs w:val="24"/>
        </w:rPr>
        <w:t xml:space="preserve"> dynamic surface tension, </w:t>
      </w:r>
      <w:r w:rsidR="0043617D">
        <w:rPr>
          <w:sz w:val="24"/>
          <w:szCs w:val="24"/>
        </w:rPr>
        <w:t xml:space="preserve">static </w:t>
      </w:r>
      <w:r>
        <w:rPr>
          <w:sz w:val="24"/>
          <w:szCs w:val="24"/>
        </w:rPr>
        <w:t>surface tension,</w:t>
      </w:r>
      <w:r w:rsidR="00146156">
        <w:rPr>
          <w:sz w:val="24"/>
          <w:szCs w:val="24"/>
        </w:rPr>
        <w:t xml:space="preserve"> and</w:t>
      </w:r>
      <w:r>
        <w:rPr>
          <w:sz w:val="24"/>
          <w:szCs w:val="24"/>
        </w:rPr>
        <w:t xml:space="preserve"> spreading coefficient </w:t>
      </w:r>
      <w:r w:rsidR="007755F5">
        <w:rPr>
          <w:sz w:val="24"/>
          <w:szCs w:val="24"/>
        </w:rPr>
        <w:t>were</w:t>
      </w:r>
      <w:r w:rsidR="00344406">
        <w:rPr>
          <w:sz w:val="24"/>
          <w:szCs w:val="24"/>
        </w:rPr>
        <w:t xml:space="preserve"> </w:t>
      </w:r>
      <w:r>
        <w:rPr>
          <w:sz w:val="24"/>
          <w:szCs w:val="24"/>
        </w:rPr>
        <w:t>similar to a commercial AFFF foam solution, Nation</w:t>
      </w:r>
      <w:r w:rsidR="00A91383">
        <w:rPr>
          <w:sz w:val="24"/>
          <w:szCs w:val="24"/>
        </w:rPr>
        <w:t>al 3%</w:t>
      </w:r>
      <w:r w:rsidR="00CA6AF8">
        <w:rPr>
          <w:sz w:val="24"/>
          <w:szCs w:val="24"/>
        </w:rPr>
        <w:t xml:space="preserve">. The </w:t>
      </w:r>
      <w:r w:rsidR="00395563">
        <w:rPr>
          <w:sz w:val="24"/>
          <w:szCs w:val="24"/>
        </w:rPr>
        <w:t>spreading coefficient for the r</w:t>
      </w:r>
      <w:r w:rsidR="00CA6AF8">
        <w:rPr>
          <w:sz w:val="24"/>
          <w:szCs w:val="24"/>
        </w:rPr>
        <w:t xml:space="preserve">eference AFFF and commercial AFFF </w:t>
      </w:r>
      <w:r w:rsidR="00A91383">
        <w:rPr>
          <w:sz w:val="24"/>
          <w:szCs w:val="24"/>
        </w:rPr>
        <w:t>met MilSpec criteria</w:t>
      </w:r>
      <w:r w:rsidR="00395563">
        <w:rPr>
          <w:sz w:val="24"/>
          <w:szCs w:val="24"/>
        </w:rPr>
        <w:t xml:space="preserve">. </w:t>
      </w:r>
      <w:r w:rsidR="00A1246B">
        <w:rPr>
          <w:sz w:val="24"/>
          <w:szCs w:val="24"/>
        </w:rPr>
        <w:t xml:space="preserve"> </w:t>
      </w:r>
    </w:p>
    <w:p w14:paraId="7D3EA352" w14:textId="4156E64B" w:rsidR="00D17250" w:rsidRDefault="009C3EC6" w:rsidP="0043617D">
      <w:pPr>
        <w:pStyle w:val="BodyTextIndent2"/>
        <w:spacing w:before="120" w:after="120"/>
        <w:ind w:left="86" w:firstLine="274"/>
        <w:rPr>
          <w:sz w:val="24"/>
          <w:szCs w:val="24"/>
        </w:rPr>
      </w:pPr>
      <w:r w:rsidRPr="004B0DF8">
        <w:rPr>
          <w:sz w:val="24"/>
          <w:szCs w:val="24"/>
        </w:rPr>
        <w:t>Foam properties</w:t>
      </w:r>
      <w:r w:rsidR="002A706C" w:rsidRPr="004B0DF8">
        <w:rPr>
          <w:sz w:val="24"/>
          <w:szCs w:val="24"/>
        </w:rPr>
        <w:t xml:space="preserve"> for the reference AFFF</w:t>
      </w:r>
      <w:r w:rsidRPr="004B0DF8">
        <w:rPr>
          <w:sz w:val="24"/>
          <w:szCs w:val="24"/>
        </w:rPr>
        <w:t xml:space="preserve"> were measured and compare</w:t>
      </w:r>
      <w:r w:rsidR="004B0DF8" w:rsidRPr="004B0DF8">
        <w:rPr>
          <w:sz w:val="24"/>
          <w:szCs w:val="24"/>
        </w:rPr>
        <w:t>d to commercial AFFF’s in</w:t>
      </w:r>
      <w:r w:rsidR="0043617D" w:rsidRPr="004B0DF8">
        <w:rPr>
          <w:sz w:val="24"/>
          <w:szCs w:val="24"/>
        </w:rPr>
        <w:t>-lab</w:t>
      </w:r>
      <w:r w:rsidR="004B0DF8" w:rsidRPr="004B0DF8">
        <w:rPr>
          <w:sz w:val="24"/>
          <w:szCs w:val="24"/>
        </w:rPr>
        <w:t xml:space="preserve"> (National 3%) and in large-scale MilSpec testing</w:t>
      </w:r>
      <w:r w:rsidRPr="004B0DF8">
        <w:rPr>
          <w:sz w:val="24"/>
          <w:szCs w:val="24"/>
        </w:rPr>
        <w:t xml:space="preserve"> </w:t>
      </w:r>
      <w:r w:rsidR="004B0DF8" w:rsidRPr="004B0DF8">
        <w:rPr>
          <w:sz w:val="24"/>
          <w:szCs w:val="24"/>
        </w:rPr>
        <w:t>(</w:t>
      </w:r>
      <w:r w:rsidRPr="004B0DF8">
        <w:rPr>
          <w:sz w:val="24"/>
          <w:szCs w:val="24"/>
        </w:rPr>
        <w:t>FomTec 3%</w:t>
      </w:r>
      <w:r w:rsidR="004B0DF8" w:rsidRPr="004B0DF8">
        <w:rPr>
          <w:sz w:val="24"/>
          <w:szCs w:val="24"/>
        </w:rPr>
        <w:t>)</w:t>
      </w:r>
      <w:r w:rsidRPr="004B0DF8">
        <w:rPr>
          <w:sz w:val="24"/>
          <w:szCs w:val="24"/>
        </w:rPr>
        <w:t xml:space="preserve">. </w:t>
      </w:r>
      <w:r w:rsidR="00A1246B" w:rsidRPr="004B0DF8">
        <w:rPr>
          <w:sz w:val="24"/>
          <w:szCs w:val="24"/>
        </w:rPr>
        <w:t>In-lab foams were dryer</w:t>
      </w:r>
      <w:r w:rsidR="00D17250" w:rsidRPr="004B0DF8">
        <w:rPr>
          <w:sz w:val="24"/>
          <w:szCs w:val="24"/>
        </w:rPr>
        <w:t xml:space="preserve">, had larger bubbles, and drained faster than foams generated in MilSpec testing. However, both </w:t>
      </w:r>
      <w:r w:rsidR="00D17250" w:rsidRPr="004B0DF8">
        <w:rPr>
          <w:sz w:val="24"/>
          <w:szCs w:val="24"/>
        </w:rPr>
        <w:lastRenderedPageBreak/>
        <w:t>foams had similar initial expansion ratios, initial bubble diameters, and 25% liquid drainage times that met MilSpec criteria when generated for MilSpec testing.</w:t>
      </w:r>
      <w:r w:rsidR="00A1246B">
        <w:rPr>
          <w:sz w:val="24"/>
          <w:szCs w:val="24"/>
        </w:rPr>
        <w:t xml:space="preserve"> </w:t>
      </w:r>
    </w:p>
    <w:p w14:paraId="56484D41" w14:textId="6C4BE616" w:rsidR="00A1246B" w:rsidRDefault="007755F5" w:rsidP="0043617D">
      <w:pPr>
        <w:pStyle w:val="BodyTextIndent2"/>
        <w:spacing w:before="120" w:after="120"/>
        <w:ind w:left="86" w:firstLine="274"/>
        <w:rPr>
          <w:sz w:val="24"/>
          <w:szCs w:val="24"/>
        </w:rPr>
      </w:pPr>
      <w:r>
        <w:rPr>
          <w:sz w:val="24"/>
          <w:szCs w:val="24"/>
        </w:rPr>
        <w:t>Despite</w:t>
      </w:r>
      <w:r w:rsidR="00A1246B">
        <w:rPr>
          <w:sz w:val="24"/>
          <w:szCs w:val="24"/>
        </w:rPr>
        <w:t xml:space="preserve"> similarities, the reference AFFF extinguished a 28 ft</w:t>
      </w:r>
      <w:r w:rsidR="00A1246B">
        <w:rPr>
          <w:sz w:val="24"/>
          <w:szCs w:val="24"/>
          <w:vertAlign w:val="superscript"/>
        </w:rPr>
        <w:t>2</w:t>
      </w:r>
      <w:r w:rsidR="00A1246B">
        <w:rPr>
          <w:sz w:val="24"/>
          <w:szCs w:val="24"/>
        </w:rPr>
        <w:t xml:space="preserve"> gasoline pool fire in 54 seconds, failing MilSpec criteria, while FomTec 3% extinguished the fire in 23 seconds. Similar surface tensions, spreading coefficients, and the passing of the film and seal test show that both foams </w:t>
      </w:r>
      <w:r w:rsidR="00395563">
        <w:rPr>
          <w:sz w:val="24"/>
          <w:szCs w:val="24"/>
        </w:rPr>
        <w:t>are able to form films, but</w:t>
      </w:r>
      <w:r w:rsidR="00A1246B">
        <w:rPr>
          <w:sz w:val="24"/>
          <w:szCs w:val="24"/>
        </w:rPr>
        <w:t xml:space="preserve"> film formation is not </w:t>
      </w:r>
      <w:r w:rsidR="006A46FA">
        <w:rPr>
          <w:sz w:val="24"/>
          <w:szCs w:val="24"/>
        </w:rPr>
        <w:t>sufficient</w:t>
      </w:r>
      <w:r w:rsidR="00A1246B">
        <w:rPr>
          <w:sz w:val="24"/>
          <w:szCs w:val="24"/>
        </w:rPr>
        <w:t xml:space="preserve"> for rapid fire extinction. </w:t>
      </w:r>
    </w:p>
    <w:p w14:paraId="2EC88DE8" w14:textId="04E85D97" w:rsidR="00A1246B" w:rsidRPr="00A1246B" w:rsidRDefault="00A1246B" w:rsidP="0043617D">
      <w:pPr>
        <w:pStyle w:val="BodyTextIndent2"/>
        <w:spacing w:before="120" w:after="120"/>
        <w:ind w:left="86" w:firstLine="274"/>
        <w:rPr>
          <w:sz w:val="24"/>
          <w:szCs w:val="24"/>
        </w:rPr>
      </w:pPr>
      <w:r>
        <w:rPr>
          <w:sz w:val="24"/>
          <w:szCs w:val="24"/>
        </w:rPr>
        <w:t>We recorded differences in foam degradation over n-heptane at 50°C for the reference AFFF and National 3% generated in-lab. T</w:t>
      </w:r>
      <w:r w:rsidR="00107DF4">
        <w:rPr>
          <w:sz w:val="24"/>
          <w:szCs w:val="24"/>
        </w:rPr>
        <w:t>he reference AFFF degraded in 30</w:t>
      </w:r>
      <w:r>
        <w:rPr>
          <w:sz w:val="24"/>
          <w:szCs w:val="24"/>
        </w:rPr>
        <w:t xml:space="preserve"> minutes while the commercial AFFF degraded in 45 minutes. This improvement in degradation could explain the superior firefighting abilities of the commercial AFFF over the reference AFFF. Future work in developing a reference AFFF will </w:t>
      </w:r>
      <w:r w:rsidR="0030654D">
        <w:rPr>
          <w:sz w:val="24"/>
          <w:szCs w:val="24"/>
        </w:rPr>
        <w:t>investigate composition/</w:t>
      </w:r>
      <w:r w:rsidR="001947A3">
        <w:rPr>
          <w:sz w:val="24"/>
          <w:szCs w:val="24"/>
        </w:rPr>
        <w:t xml:space="preserve">molecular </w:t>
      </w:r>
      <w:r w:rsidR="0030654D">
        <w:rPr>
          <w:sz w:val="24"/>
          <w:szCs w:val="24"/>
        </w:rPr>
        <w:t>structure of surfactant formulations</w:t>
      </w:r>
      <w:r>
        <w:rPr>
          <w:sz w:val="24"/>
          <w:szCs w:val="24"/>
        </w:rPr>
        <w:t xml:space="preserve"> that effect foam </w:t>
      </w:r>
      <w:r w:rsidR="0030654D">
        <w:rPr>
          <w:sz w:val="24"/>
          <w:szCs w:val="24"/>
        </w:rPr>
        <w:t xml:space="preserve">properties including </w:t>
      </w:r>
      <w:r>
        <w:rPr>
          <w:sz w:val="24"/>
          <w:szCs w:val="24"/>
        </w:rPr>
        <w:t xml:space="preserve">degradation.  </w:t>
      </w:r>
    </w:p>
    <w:p w14:paraId="5EF8C835" w14:textId="77777777" w:rsidR="00B6141E" w:rsidRPr="007E5ABD" w:rsidRDefault="00B6141E" w:rsidP="00B6141E">
      <w:pPr>
        <w:rPr>
          <w:b/>
          <w:sz w:val="24"/>
          <w:szCs w:val="24"/>
        </w:rPr>
      </w:pPr>
    </w:p>
    <w:p w14:paraId="09258BAC" w14:textId="77777777" w:rsidR="00417366" w:rsidRPr="0043617D" w:rsidRDefault="00B55A4A" w:rsidP="0043617D">
      <w:pPr>
        <w:spacing w:before="120" w:after="120"/>
        <w:rPr>
          <w:b/>
          <w:sz w:val="24"/>
          <w:szCs w:val="24"/>
        </w:rPr>
      </w:pPr>
      <w:r>
        <w:rPr>
          <w:b/>
          <w:sz w:val="24"/>
          <w:szCs w:val="24"/>
        </w:rPr>
        <w:t xml:space="preserve">5. </w:t>
      </w:r>
      <w:r w:rsidR="00504BCD" w:rsidRPr="007E5ABD">
        <w:rPr>
          <w:b/>
          <w:sz w:val="24"/>
          <w:szCs w:val="24"/>
        </w:rPr>
        <w:t>Acknowledgements</w:t>
      </w:r>
    </w:p>
    <w:p w14:paraId="006C06FA" w14:textId="36C6BF85" w:rsidR="00417366" w:rsidRPr="007E5ABD" w:rsidRDefault="0043617D" w:rsidP="0043617D">
      <w:pPr>
        <w:pStyle w:val="BodyTextIndent2"/>
        <w:spacing w:before="120" w:after="120"/>
        <w:ind w:firstLine="0"/>
        <w:jc w:val="left"/>
        <w:rPr>
          <w:sz w:val="24"/>
          <w:szCs w:val="24"/>
        </w:rPr>
      </w:pPr>
      <w:r>
        <w:rPr>
          <w:sz w:val="24"/>
          <w:szCs w:val="24"/>
        </w:rPr>
        <w:t xml:space="preserve">     </w:t>
      </w:r>
      <w:r w:rsidR="00A1246B">
        <w:rPr>
          <w:sz w:val="24"/>
          <w:szCs w:val="24"/>
        </w:rPr>
        <w:t>This research was funded b</w:t>
      </w:r>
      <w:r w:rsidR="009C000D">
        <w:rPr>
          <w:sz w:val="24"/>
          <w:szCs w:val="24"/>
        </w:rPr>
        <w:t xml:space="preserve">y the Office of Naval Research </w:t>
      </w:r>
      <w:r w:rsidR="00A1246B">
        <w:rPr>
          <w:sz w:val="24"/>
          <w:szCs w:val="24"/>
        </w:rPr>
        <w:t>t</w:t>
      </w:r>
      <w:r w:rsidR="009C000D">
        <w:rPr>
          <w:sz w:val="24"/>
          <w:szCs w:val="24"/>
        </w:rPr>
        <w:t>hrough</w:t>
      </w:r>
      <w:r w:rsidR="00A1246B">
        <w:rPr>
          <w:sz w:val="24"/>
          <w:szCs w:val="24"/>
        </w:rPr>
        <w:t xml:space="preserve"> the U.S. Naval Research Laboratory. </w:t>
      </w:r>
      <w:r w:rsidR="00767DA3">
        <w:rPr>
          <w:sz w:val="24"/>
          <w:szCs w:val="24"/>
        </w:rPr>
        <w:t>We thank</w:t>
      </w:r>
      <w:r w:rsidR="009C000D" w:rsidRPr="009C000D">
        <w:rPr>
          <w:sz w:val="24"/>
          <w:szCs w:val="24"/>
        </w:rPr>
        <w:t xml:space="preserve"> Clarence Whitehurst, Ralph Ouellette, and Brianna Gillespie for their assistance </w:t>
      </w:r>
      <w:r w:rsidR="00767DA3">
        <w:rPr>
          <w:sz w:val="24"/>
          <w:szCs w:val="24"/>
        </w:rPr>
        <w:t>in MilSpec testing. We thank</w:t>
      </w:r>
      <w:r w:rsidR="009C000D" w:rsidRPr="009C000D">
        <w:rPr>
          <w:sz w:val="24"/>
          <w:szCs w:val="24"/>
        </w:rPr>
        <w:t xml:space="preserve"> James Fleming</w:t>
      </w:r>
      <w:r w:rsidR="009C000D">
        <w:rPr>
          <w:sz w:val="24"/>
          <w:szCs w:val="24"/>
        </w:rPr>
        <w:t xml:space="preserve"> for</w:t>
      </w:r>
      <w:r w:rsidR="00761CAF">
        <w:rPr>
          <w:sz w:val="24"/>
          <w:szCs w:val="24"/>
        </w:rPr>
        <w:t xml:space="preserve"> his expertise</w:t>
      </w:r>
      <w:r w:rsidR="009C000D" w:rsidRPr="009C000D">
        <w:rPr>
          <w:sz w:val="24"/>
          <w:szCs w:val="24"/>
        </w:rPr>
        <w:t xml:space="preserve"> in </w:t>
      </w:r>
      <w:r w:rsidR="006A46FA">
        <w:rPr>
          <w:sz w:val="24"/>
          <w:szCs w:val="24"/>
        </w:rPr>
        <w:t>fires and foams</w:t>
      </w:r>
      <w:r w:rsidR="009C000D" w:rsidRPr="009C000D">
        <w:rPr>
          <w:sz w:val="24"/>
          <w:szCs w:val="24"/>
        </w:rPr>
        <w:t xml:space="preserve">.   </w:t>
      </w:r>
    </w:p>
    <w:p w14:paraId="4B544EDB" w14:textId="77777777" w:rsidR="00595949" w:rsidRPr="007E5ABD" w:rsidRDefault="00595949" w:rsidP="009E0419">
      <w:pPr>
        <w:pStyle w:val="BodyTextIndent2"/>
        <w:ind w:firstLine="0"/>
        <w:jc w:val="left"/>
        <w:rPr>
          <w:sz w:val="24"/>
          <w:szCs w:val="24"/>
        </w:rPr>
      </w:pPr>
    </w:p>
    <w:p w14:paraId="7C61FD93" w14:textId="77777777" w:rsidR="00557EF2" w:rsidRDefault="00B55A4A" w:rsidP="009E0419">
      <w:pPr>
        <w:pStyle w:val="BodyTextIndent2"/>
        <w:ind w:firstLine="0"/>
        <w:jc w:val="left"/>
        <w:rPr>
          <w:b/>
          <w:sz w:val="24"/>
          <w:szCs w:val="24"/>
        </w:rPr>
      </w:pPr>
      <w:r>
        <w:rPr>
          <w:b/>
          <w:sz w:val="24"/>
          <w:szCs w:val="24"/>
        </w:rPr>
        <w:t xml:space="preserve">6. </w:t>
      </w:r>
      <w:r w:rsidR="00557EF2" w:rsidRPr="007E5ABD">
        <w:rPr>
          <w:b/>
          <w:sz w:val="24"/>
          <w:szCs w:val="24"/>
        </w:rPr>
        <w:t>References</w:t>
      </w:r>
    </w:p>
    <w:p w14:paraId="5649E9C9" w14:textId="77777777" w:rsidR="00154294" w:rsidRPr="00154294" w:rsidRDefault="00154294" w:rsidP="001B2846">
      <w:pPr>
        <w:pStyle w:val="ListParagraph"/>
        <w:numPr>
          <w:ilvl w:val="0"/>
          <w:numId w:val="13"/>
        </w:numPr>
        <w:spacing w:before="120" w:after="120"/>
        <w:rPr>
          <w:sz w:val="22"/>
          <w:szCs w:val="22"/>
        </w:rPr>
      </w:pPr>
      <w:r w:rsidRPr="00154294">
        <w:rPr>
          <w:sz w:val="22"/>
          <w:szCs w:val="22"/>
        </w:rPr>
        <w:t>"Military Specification: Fire Extinguishment Agent. Aqueous Fil</w:t>
      </w:r>
      <w:r w:rsidR="00B50D4D">
        <w:rPr>
          <w:sz w:val="22"/>
          <w:szCs w:val="22"/>
        </w:rPr>
        <w:t>m</w:t>
      </w:r>
      <w:r w:rsidRPr="00154294">
        <w:rPr>
          <w:sz w:val="22"/>
          <w:szCs w:val="22"/>
        </w:rPr>
        <w:t>-Forming Foam (AFFF) Liquid Concentrate, For Fresh and Sea Water" MIL-F-24385F, Naval Sea System Command (1992).</w:t>
      </w:r>
    </w:p>
    <w:p w14:paraId="6C9AA7BF" w14:textId="77777777" w:rsidR="00154294" w:rsidRPr="00154294" w:rsidRDefault="00154294" w:rsidP="001B2846">
      <w:pPr>
        <w:pStyle w:val="ListParagraph"/>
        <w:numPr>
          <w:ilvl w:val="0"/>
          <w:numId w:val="13"/>
        </w:numPr>
        <w:spacing w:before="120" w:after="120"/>
        <w:rPr>
          <w:sz w:val="22"/>
          <w:szCs w:val="22"/>
        </w:rPr>
      </w:pPr>
      <w:r w:rsidRPr="00154294">
        <w:rPr>
          <w:sz w:val="22"/>
          <w:szCs w:val="22"/>
        </w:rPr>
        <w:t>S. Zhang, D. N. Lerner, Review of Physical and Chemical properties of Perfluorooctanyl Sulphonate (PFOS) with Respect to Its Potential Contamination on the Environment, Adv. Mater ResSwitz (2012) 518-523, 2183-2191.</w:t>
      </w:r>
    </w:p>
    <w:p w14:paraId="04224187" w14:textId="77777777" w:rsidR="00357B13" w:rsidRDefault="00154294" w:rsidP="001B2846">
      <w:pPr>
        <w:pStyle w:val="BodyTextIndent2"/>
        <w:numPr>
          <w:ilvl w:val="0"/>
          <w:numId w:val="13"/>
        </w:numPr>
        <w:spacing w:before="120" w:after="120"/>
        <w:jc w:val="left"/>
        <w:rPr>
          <w:sz w:val="22"/>
          <w:szCs w:val="22"/>
        </w:rPr>
      </w:pPr>
      <w:r w:rsidRPr="00154294">
        <w:rPr>
          <w:sz w:val="22"/>
          <w:szCs w:val="22"/>
        </w:rPr>
        <w:t>B. Z. Dlugogorski, S. Phiyanalinmat, E. M. Kennedy, Dynamic Surface and Interfacial Tension of AFFF and Fluorine-free Class B Foam Solutions, Fire Safety Science-Proceedings of the 8</w:t>
      </w:r>
      <w:r w:rsidRPr="00154294">
        <w:rPr>
          <w:sz w:val="22"/>
          <w:szCs w:val="22"/>
          <w:vertAlign w:val="superscript"/>
        </w:rPr>
        <w:t>th</w:t>
      </w:r>
      <w:r w:rsidRPr="00154294">
        <w:rPr>
          <w:sz w:val="22"/>
          <w:szCs w:val="22"/>
        </w:rPr>
        <w:t xml:space="preserve"> International Symposium (2005) 719-730. </w:t>
      </w:r>
    </w:p>
    <w:p w14:paraId="31388454" w14:textId="77777777" w:rsidR="00F573AF" w:rsidRDefault="00F573AF" w:rsidP="001B2846">
      <w:pPr>
        <w:pStyle w:val="ListParagraph"/>
        <w:numPr>
          <w:ilvl w:val="0"/>
          <w:numId w:val="13"/>
        </w:numPr>
        <w:spacing w:before="120" w:after="120"/>
        <w:rPr>
          <w:sz w:val="22"/>
          <w:szCs w:val="22"/>
        </w:rPr>
      </w:pPr>
      <w:r w:rsidRPr="00F573AF">
        <w:rPr>
          <w:sz w:val="22"/>
          <w:szCs w:val="22"/>
        </w:rPr>
        <w:t>B. Lattimer, C. Hanauska, J. Scheffey, F. Williams, The use of small-scale test data to characterize some aspects of firefighting foam for suppression modeling, Fire Safety Journal 38 (2003) 117-146.</w:t>
      </w:r>
    </w:p>
    <w:p w14:paraId="60394B67" w14:textId="77777777" w:rsidR="00F573AF" w:rsidRPr="00F573AF" w:rsidRDefault="00F573AF" w:rsidP="001B2846">
      <w:pPr>
        <w:pStyle w:val="ListParagraph"/>
        <w:numPr>
          <w:ilvl w:val="0"/>
          <w:numId w:val="13"/>
        </w:numPr>
        <w:spacing w:before="120" w:after="120"/>
        <w:rPr>
          <w:sz w:val="22"/>
          <w:szCs w:val="22"/>
        </w:rPr>
      </w:pPr>
      <w:r w:rsidRPr="00F573AF">
        <w:rPr>
          <w:sz w:val="22"/>
          <w:szCs w:val="22"/>
        </w:rPr>
        <w:t>B. Williams, C. Butterworth, Z. Burger, R. Sheinson, J. Fleming, C. Whitehurst, J. Farley, Extinguishment and Burnback Tests of Fluorinated and Fluorine-free Firefighting Foams with and without Film Formation, In Suppression, Detection, and Signaling Research and Applications- A Technical Worki</w:t>
      </w:r>
      <w:r w:rsidR="002401E4">
        <w:rPr>
          <w:sz w:val="22"/>
          <w:szCs w:val="22"/>
        </w:rPr>
        <w:t>ng Conference, NFPA</w:t>
      </w:r>
      <w:r w:rsidRPr="00F573AF">
        <w:rPr>
          <w:sz w:val="22"/>
          <w:szCs w:val="22"/>
        </w:rPr>
        <w:t xml:space="preserve"> (2011)</w:t>
      </w:r>
      <w:r w:rsidR="002401E4">
        <w:rPr>
          <w:sz w:val="22"/>
          <w:szCs w:val="22"/>
        </w:rPr>
        <w:t>.</w:t>
      </w:r>
    </w:p>
    <w:p w14:paraId="110E93CD" w14:textId="77777777" w:rsidR="00F35123" w:rsidRDefault="00331C61" w:rsidP="001B2846">
      <w:pPr>
        <w:pStyle w:val="BodyTextIndent2"/>
        <w:numPr>
          <w:ilvl w:val="0"/>
          <w:numId w:val="13"/>
        </w:numPr>
        <w:spacing w:before="120" w:after="120"/>
        <w:jc w:val="left"/>
        <w:rPr>
          <w:sz w:val="22"/>
          <w:szCs w:val="22"/>
        </w:rPr>
      </w:pPr>
      <w:r>
        <w:rPr>
          <w:sz w:val="22"/>
          <w:szCs w:val="22"/>
        </w:rPr>
        <w:t xml:space="preserve">A. J. Laundess, M. S. Rayson, B. Z. Dlugogorski, E. M. Kennedy, Suppression Performance Comparison of Aspirated, Compressed-Air and In Situ Chemically Generated Class B Foams, Fire Technology 48(3) (2012) 625-640. </w:t>
      </w:r>
    </w:p>
    <w:p w14:paraId="7748C9BB" w14:textId="77777777" w:rsidR="00F35123" w:rsidRDefault="007C7669" w:rsidP="001B2846">
      <w:pPr>
        <w:pStyle w:val="BodyTextIndent2"/>
        <w:numPr>
          <w:ilvl w:val="0"/>
          <w:numId w:val="13"/>
        </w:numPr>
        <w:spacing w:before="120" w:after="120"/>
        <w:jc w:val="left"/>
        <w:rPr>
          <w:sz w:val="22"/>
          <w:szCs w:val="22"/>
        </w:rPr>
      </w:pPr>
      <w:r>
        <w:rPr>
          <w:sz w:val="22"/>
          <w:szCs w:val="22"/>
        </w:rPr>
        <w:t xml:space="preserve">R. H. Hetzer, F. Kümmerlen, Siloxane-Based AFFF: Testing Experimental Foam Concentrates, </w:t>
      </w:r>
      <w:r w:rsidRPr="00F573AF">
        <w:rPr>
          <w:sz w:val="22"/>
          <w:szCs w:val="22"/>
        </w:rPr>
        <w:t>In Suppression, Detection, and Signaling Research and Applications- A Technical Worki</w:t>
      </w:r>
      <w:r>
        <w:rPr>
          <w:sz w:val="22"/>
          <w:szCs w:val="22"/>
        </w:rPr>
        <w:t>ng Conference, NFPA (2016</w:t>
      </w:r>
      <w:r w:rsidRPr="00F573AF">
        <w:rPr>
          <w:sz w:val="22"/>
          <w:szCs w:val="22"/>
        </w:rPr>
        <w:t>)</w:t>
      </w:r>
      <w:r>
        <w:rPr>
          <w:sz w:val="22"/>
          <w:szCs w:val="22"/>
        </w:rPr>
        <w:t>.</w:t>
      </w:r>
    </w:p>
    <w:p w14:paraId="3E6FF5DB" w14:textId="7A1E7DDD" w:rsidR="00330D18" w:rsidRPr="00A91383" w:rsidRDefault="00C202A3" w:rsidP="00A91383">
      <w:pPr>
        <w:pStyle w:val="BodyTextIndent2"/>
        <w:numPr>
          <w:ilvl w:val="0"/>
          <w:numId w:val="13"/>
        </w:numPr>
        <w:spacing w:before="120" w:after="120"/>
        <w:jc w:val="left"/>
        <w:rPr>
          <w:sz w:val="22"/>
          <w:szCs w:val="22"/>
        </w:rPr>
      </w:pPr>
      <w:r>
        <w:rPr>
          <w:sz w:val="22"/>
          <w:szCs w:val="22"/>
        </w:rPr>
        <w:t>K. Hinnant, M. W. Conroy, R. Ananth, Influence of fuel on foam degradation for fluorinated and fluorine-free foams, Collo</w:t>
      </w:r>
      <w:r w:rsidR="009B4F14">
        <w:rPr>
          <w:sz w:val="22"/>
          <w:szCs w:val="22"/>
        </w:rPr>
        <w:t>ids and Surfaces A (Submitted</w:t>
      </w:r>
      <w:r>
        <w:rPr>
          <w:sz w:val="22"/>
          <w:szCs w:val="22"/>
        </w:rPr>
        <w:t xml:space="preserve">) (2016). </w:t>
      </w:r>
    </w:p>
    <w:sectPr w:rsidR="00330D18" w:rsidRPr="00A91383" w:rsidSect="000A15E9">
      <w:headerReference w:type="default" r:id="rId13"/>
      <w:footerReference w:type="even" r:id="rId14"/>
      <w:footerReference w:type="default" r:id="rId15"/>
      <w:headerReference w:type="first" r:id="rId16"/>
      <w:pgSz w:w="12240" w:h="15840"/>
      <w:pgMar w:top="1440" w:right="1440" w:bottom="1440" w:left="1440" w:header="720" w:footer="720" w:gutter="0"/>
      <w:cols w:space="36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R2" w:date="2016-12-07T11:50:00Z" w:initials="RR2">
    <w:p w14:paraId="78E90811" w14:textId="77777777" w:rsidR="008E129E" w:rsidRDefault="008E129E">
      <w:pPr>
        <w:pStyle w:val="CommentText"/>
      </w:pPr>
      <w:r>
        <w:rPr>
          <w:rStyle w:val="CommentReference"/>
        </w:rPr>
        <w:annotationRef/>
      </w:r>
      <w:r>
        <w:t>aaaaaaaaaa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E908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1E08E" w14:textId="77777777" w:rsidR="00EC2E70" w:rsidRDefault="00EC2E70">
      <w:r>
        <w:separator/>
      </w:r>
    </w:p>
  </w:endnote>
  <w:endnote w:type="continuationSeparator" w:id="0">
    <w:p w14:paraId="05D5C819" w14:textId="77777777" w:rsidR="00EC2E70" w:rsidRDefault="00EC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19C9"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8DF5BC" w14:textId="77777777" w:rsidR="0084596F" w:rsidRDefault="00845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BA9D0" w14:textId="77777777" w:rsidR="0084596F" w:rsidRDefault="0084596F" w:rsidP="007E5A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666">
      <w:rPr>
        <w:rStyle w:val="PageNumber"/>
        <w:noProof/>
      </w:rPr>
      <w:t>4</w:t>
    </w:r>
    <w:r>
      <w:rPr>
        <w:rStyle w:val="PageNumber"/>
      </w:rPr>
      <w:fldChar w:fldCharType="end"/>
    </w:r>
  </w:p>
  <w:p w14:paraId="781E7FAE" w14:textId="77777777" w:rsidR="0084596F" w:rsidRDefault="0084596F" w:rsidP="005C6E3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37C72" w14:textId="77777777" w:rsidR="00EC2E70" w:rsidRDefault="00EC2E70">
      <w:r>
        <w:separator/>
      </w:r>
    </w:p>
  </w:footnote>
  <w:footnote w:type="continuationSeparator" w:id="0">
    <w:p w14:paraId="765199F5" w14:textId="77777777" w:rsidR="00EC2E70" w:rsidRDefault="00EC2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1CF42" w14:textId="77777777" w:rsidR="00B00B19" w:rsidRDefault="00B00B19">
    <w:pPr>
      <w:pStyle w:val="Header"/>
      <w:rPr>
        <w:sz w:val="24"/>
        <w:szCs w:val="24"/>
      </w:rPr>
    </w:pPr>
    <w:r w:rsidRPr="00C96865">
      <w:rPr>
        <w:sz w:val="24"/>
        <w:szCs w:val="24"/>
      </w:rPr>
      <w:t>S</w:t>
    </w:r>
    <w:r w:rsidR="002327FC">
      <w:rPr>
        <w:sz w:val="24"/>
        <w:szCs w:val="24"/>
      </w:rPr>
      <w:t>ub Topic: Fire</w:t>
    </w:r>
  </w:p>
  <w:p w14:paraId="18891E00" w14:textId="77777777" w:rsidR="002327FC" w:rsidRPr="00C96865" w:rsidRDefault="002327FC">
    <w:pPr>
      <w:pStyle w:val="Head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D7BA3" w14:textId="77777777" w:rsidR="0084596F" w:rsidRPr="00B6141E" w:rsidRDefault="0084596F">
    <w:pPr>
      <w:pStyle w:val="Header"/>
      <w:rPr>
        <w:rFonts w:ascii="Arial" w:hAnsi="Arial" w:cs="Arial"/>
        <w:b/>
      </w:rPr>
    </w:pPr>
    <w:r w:rsidRPr="00B6141E">
      <w:rPr>
        <w:rFonts w:ascii="Arial" w:hAnsi="Arial" w:cs="Arial"/>
        <w:b/>
      </w:rPr>
      <w:t>Paper # 000</w:t>
    </w:r>
    <w:r w:rsidRPr="00B6141E">
      <w:rPr>
        <w:rFonts w:ascii="Arial" w:hAnsi="Arial" w:cs="Arial"/>
        <w:b/>
      </w:rPr>
      <w:tab/>
    </w:r>
    <w:r w:rsidRPr="00B6141E">
      <w:rPr>
        <w:rFonts w:ascii="Arial" w:hAnsi="Arial" w:cs="Arial"/>
        <w:b/>
      </w:rPr>
      <w:tab/>
      <w:t xml:space="preserve">Topic: </w:t>
    </w:r>
    <w:r>
      <w:rPr>
        <w:rFonts w:ascii="Arial" w:hAnsi="Arial" w:cs="Arial"/>
        <w:b/>
      </w:rPr>
      <w:t xml:space="preserve">eg. </w:t>
    </w:r>
    <w:r w:rsidRPr="00B6141E">
      <w:rPr>
        <w:rFonts w:ascii="Arial" w:hAnsi="Arial" w:cs="Arial"/>
        <w:b/>
      </w:rPr>
      <w:t>Laminar Flames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7F3"/>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DC60D1F"/>
    <w:multiLevelType w:val="hybridMultilevel"/>
    <w:tmpl w:val="7270AC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920B6"/>
    <w:multiLevelType w:val="hybridMultilevel"/>
    <w:tmpl w:val="DBA26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D37AB"/>
    <w:multiLevelType w:val="hybridMultilevel"/>
    <w:tmpl w:val="C1987234"/>
    <w:lvl w:ilvl="0" w:tplc="B4688646">
      <w:start w:val="28"/>
      <w:numFmt w:val="bullet"/>
      <w:lvlText w:val=""/>
      <w:lvlJc w:val="left"/>
      <w:pPr>
        <w:ind w:left="630" w:hanging="36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2D9C7F07"/>
    <w:multiLevelType w:val="hybridMultilevel"/>
    <w:tmpl w:val="054A2C50"/>
    <w:lvl w:ilvl="0" w:tplc="E972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E2B49"/>
    <w:multiLevelType w:val="hybridMultilevel"/>
    <w:tmpl w:val="A4CE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6C5C0D"/>
    <w:multiLevelType w:val="hybridMultilevel"/>
    <w:tmpl w:val="48DC96B2"/>
    <w:lvl w:ilvl="0" w:tplc="7FA2E414">
      <w:start w:val="10"/>
      <w:numFmt w:val="bullet"/>
      <w:lvlText w:val=""/>
      <w:lvlJc w:val="left"/>
      <w:pPr>
        <w:tabs>
          <w:tab w:val="num" w:pos="720"/>
        </w:tabs>
        <w:ind w:left="720" w:hanging="360"/>
      </w:pPr>
      <w:rPr>
        <w:rFonts w:ascii="Symbol" w:eastAsia="Times New Roman" w:hAnsi="Symbol" w:cs="Times New Roman" w:hint="default"/>
      </w:rPr>
    </w:lvl>
    <w:lvl w:ilvl="1" w:tplc="6B447DEA" w:tentative="1">
      <w:start w:val="1"/>
      <w:numFmt w:val="bullet"/>
      <w:lvlText w:val="o"/>
      <w:lvlJc w:val="left"/>
      <w:pPr>
        <w:tabs>
          <w:tab w:val="num" w:pos="1440"/>
        </w:tabs>
        <w:ind w:left="1440" w:hanging="360"/>
      </w:pPr>
      <w:rPr>
        <w:rFonts w:ascii="Courier New" w:hAnsi="Courier New" w:hint="default"/>
      </w:rPr>
    </w:lvl>
    <w:lvl w:ilvl="2" w:tplc="D8AE15D6" w:tentative="1">
      <w:start w:val="1"/>
      <w:numFmt w:val="bullet"/>
      <w:lvlText w:val=""/>
      <w:lvlJc w:val="left"/>
      <w:pPr>
        <w:tabs>
          <w:tab w:val="num" w:pos="2160"/>
        </w:tabs>
        <w:ind w:left="2160" w:hanging="360"/>
      </w:pPr>
      <w:rPr>
        <w:rFonts w:ascii="Wingdings" w:hAnsi="Wingdings" w:hint="default"/>
      </w:rPr>
    </w:lvl>
    <w:lvl w:ilvl="3" w:tplc="21D2FB04" w:tentative="1">
      <w:start w:val="1"/>
      <w:numFmt w:val="bullet"/>
      <w:lvlText w:val=""/>
      <w:lvlJc w:val="left"/>
      <w:pPr>
        <w:tabs>
          <w:tab w:val="num" w:pos="2880"/>
        </w:tabs>
        <w:ind w:left="2880" w:hanging="360"/>
      </w:pPr>
      <w:rPr>
        <w:rFonts w:ascii="Symbol" w:hAnsi="Symbol" w:hint="default"/>
      </w:rPr>
    </w:lvl>
    <w:lvl w:ilvl="4" w:tplc="8F5EA992" w:tentative="1">
      <w:start w:val="1"/>
      <w:numFmt w:val="bullet"/>
      <w:lvlText w:val="o"/>
      <w:lvlJc w:val="left"/>
      <w:pPr>
        <w:tabs>
          <w:tab w:val="num" w:pos="3600"/>
        </w:tabs>
        <w:ind w:left="3600" w:hanging="360"/>
      </w:pPr>
      <w:rPr>
        <w:rFonts w:ascii="Courier New" w:hAnsi="Courier New" w:hint="default"/>
      </w:rPr>
    </w:lvl>
    <w:lvl w:ilvl="5" w:tplc="AFB42C90" w:tentative="1">
      <w:start w:val="1"/>
      <w:numFmt w:val="bullet"/>
      <w:lvlText w:val=""/>
      <w:lvlJc w:val="left"/>
      <w:pPr>
        <w:tabs>
          <w:tab w:val="num" w:pos="4320"/>
        </w:tabs>
        <w:ind w:left="4320" w:hanging="360"/>
      </w:pPr>
      <w:rPr>
        <w:rFonts w:ascii="Wingdings" w:hAnsi="Wingdings" w:hint="default"/>
      </w:rPr>
    </w:lvl>
    <w:lvl w:ilvl="6" w:tplc="DC180A5A" w:tentative="1">
      <w:start w:val="1"/>
      <w:numFmt w:val="bullet"/>
      <w:lvlText w:val=""/>
      <w:lvlJc w:val="left"/>
      <w:pPr>
        <w:tabs>
          <w:tab w:val="num" w:pos="5040"/>
        </w:tabs>
        <w:ind w:left="5040" w:hanging="360"/>
      </w:pPr>
      <w:rPr>
        <w:rFonts w:ascii="Symbol" w:hAnsi="Symbol" w:hint="default"/>
      </w:rPr>
    </w:lvl>
    <w:lvl w:ilvl="7" w:tplc="7FE4AB28" w:tentative="1">
      <w:start w:val="1"/>
      <w:numFmt w:val="bullet"/>
      <w:lvlText w:val="o"/>
      <w:lvlJc w:val="left"/>
      <w:pPr>
        <w:tabs>
          <w:tab w:val="num" w:pos="5760"/>
        </w:tabs>
        <w:ind w:left="5760" w:hanging="360"/>
      </w:pPr>
      <w:rPr>
        <w:rFonts w:ascii="Courier New" w:hAnsi="Courier New" w:hint="default"/>
      </w:rPr>
    </w:lvl>
    <w:lvl w:ilvl="8" w:tplc="AB1A8AE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277DE4"/>
    <w:multiLevelType w:val="hybridMultilevel"/>
    <w:tmpl w:val="08C4BABC"/>
    <w:lvl w:ilvl="0" w:tplc="0409000B">
      <w:start w:val="2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067716"/>
    <w:multiLevelType w:val="hybridMultilevel"/>
    <w:tmpl w:val="5816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F7BC8"/>
    <w:multiLevelType w:val="hybridMultilevel"/>
    <w:tmpl w:val="06DA3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6D5938"/>
    <w:multiLevelType w:val="hybridMultilevel"/>
    <w:tmpl w:val="B88C8826"/>
    <w:lvl w:ilvl="0" w:tplc="9822D4C2">
      <w:start w:val="2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171F05"/>
    <w:multiLevelType w:val="hybridMultilevel"/>
    <w:tmpl w:val="EE1C5AE2"/>
    <w:lvl w:ilvl="0" w:tplc="6D28FFF4">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2" w15:restartNumberingAfterBreak="0">
    <w:nsid w:val="7E345683"/>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12"/>
  </w:num>
  <w:num w:numId="3">
    <w:abstractNumId w:val="0"/>
  </w:num>
  <w:num w:numId="4">
    <w:abstractNumId w:val="1"/>
  </w:num>
  <w:num w:numId="5">
    <w:abstractNumId w:val="11"/>
  </w:num>
  <w:num w:numId="6">
    <w:abstractNumId w:val="8"/>
  </w:num>
  <w:num w:numId="7">
    <w:abstractNumId w:val="7"/>
  </w:num>
  <w:num w:numId="8">
    <w:abstractNumId w:val="10"/>
  </w:num>
  <w:num w:numId="9">
    <w:abstractNumId w:val="3"/>
  </w:num>
  <w:num w:numId="10">
    <w:abstractNumId w:val="9"/>
  </w:num>
  <w:num w:numId="11">
    <w:abstractNumId w:val="5"/>
  </w:num>
  <w:num w:numId="12">
    <w:abstractNumId w:val="2"/>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R2">
    <w15:presenceInfo w15:providerId="None" w15:userId="R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3A"/>
    <w:rsid w:val="000007AA"/>
    <w:rsid w:val="00000DD7"/>
    <w:rsid w:val="00001BB4"/>
    <w:rsid w:val="00002AE1"/>
    <w:rsid w:val="0002166F"/>
    <w:rsid w:val="000331C8"/>
    <w:rsid w:val="00034E0E"/>
    <w:rsid w:val="000363AF"/>
    <w:rsid w:val="00036E72"/>
    <w:rsid w:val="00040911"/>
    <w:rsid w:val="00042C7D"/>
    <w:rsid w:val="0004415E"/>
    <w:rsid w:val="00045054"/>
    <w:rsid w:val="00046B70"/>
    <w:rsid w:val="00054601"/>
    <w:rsid w:val="00061B95"/>
    <w:rsid w:val="0006287A"/>
    <w:rsid w:val="0006345C"/>
    <w:rsid w:val="00064D17"/>
    <w:rsid w:val="00065DC0"/>
    <w:rsid w:val="00070D8F"/>
    <w:rsid w:val="000716DB"/>
    <w:rsid w:val="00073E81"/>
    <w:rsid w:val="00082785"/>
    <w:rsid w:val="00084119"/>
    <w:rsid w:val="00085AEC"/>
    <w:rsid w:val="00086F28"/>
    <w:rsid w:val="00091128"/>
    <w:rsid w:val="00093B8B"/>
    <w:rsid w:val="00095507"/>
    <w:rsid w:val="000A15E9"/>
    <w:rsid w:val="000B4768"/>
    <w:rsid w:val="000B51E2"/>
    <w:rsid w:val="000B53BD"/>
    <w:rsid w:val="000C6044"/>
    <w:rsid w:val="000C78CC"/>
    <w:rsid w:val="000E29AE"/>
    <w:rsid w:val="000E3774"/>
    <w:rsid w:val="000E397A"/>
    <w:rsid w:val="000E4570"/>
    <w:rsid w:val="000E72C4"/>
    <w:rsid w:val="000F41B9"/>
    <w:rsid w:val="00100CC7"/>
    <w:rsid w:val="0010431D"/>
    <w:rsid w:val="00107DF4"/>
    <w:rsid w:val="001107BE"/>
    <w:rsid w:val="0012064B"/>
    <w:rsid w:val="001234F5"/>
    <w:rsid w:val="0012434B"/>
    <w:rsid w:val="00131CCB"/>
    <w:rsid w:val="00133ABC"/>
    <w:rsid w:val="001368AB"/>
    <w:rsid w:val="00146156"/>
    <w:rsid w:val="00146FB7"/>
    <w:rsid w:val="0015255A"/>
    <w:rsid w:val="00153227"/>
    <w:rsid w:val="00153AAB"/>
    <w:rsid w:val="00154294"/>
    <w:rsid w:val="00154ED1"/>
    <w:rsid w:val="00157946"/>
    <w:rsid w:val="00157ABD"/>
    <w:rsid w:val="0016086A"/>
    <w:rsid w:val="001614B5"/>
    <w:rsid w:val="00165D01"/>
    <w:rsid w:val="00172568"/>
    <w:rsid w:val="00176F97"/>
    <w:rsid w:val="001823E4"/>
    <w:rsid w:val="001825C8"/>
    <w:rsid w:val="00187849"/>
    <w:rsid w:val="001921DD"/>
    <w:rsid w:val="001947A3"/>
    <w:rsid w:val="00195976"/>
    <w:rsid w:val="001A232F"/>
    <w:rsid w:val="001A433B"/>
    <w:rsid w:val="001A4396"/>
    <w:rsid w:val="001A52D9"/>
    <w:rsid w:val="001A65D7"/>
    <w:rsid w:val="001B0DA5"/>
    <w:rsid w:val="001B2846"/>
    <w:rsid w:val="001B32B8"/>
    <w:rsid w:val="001B44DB"/>
    <w:rsid w:val="001B7E14"/>
    <w:rsid w:val="001C294E"/>
    <w:rsid w:val="001C4EEE"/>
    <w:rsid w:val="001C6A11"/>
    <w:rsid w:val="001D0605"/>
    <w:rsid w:val="001D49F5"/>
    <w:rsid w:val="001D573D"/>
    <w:rsid w:val="001D638D"/>
    <w:rsid w:val="001F3497"/>
    <w:rsid w:val="001F4BD8"/>
    <w:rsid w:val="00200FAD"/>
    <w:rsid w:val="00203B1F"/>
    <w:rsid w:val="00212D2C"/>
    <w:rsid w:val="002268A1"/>
    <w:rsid w:val="002305BA"/>
    <w:rsid w:val="0023149C"/>
    <w:rsid w:val="002327FC"/>
    <w:rsid w:val="002340EE"/>
    <w:rsid w:val="00237238"/>
    <w:rsid w:val="002401E4"/>
    <w:rsid w:val="00241281"/>
    <w:rsid w:val="002426A0"/>
    <w:rsid w:val="00252E19"/>
    <w:rsid w:val="002577D7"/>
    <w:rsid w:val="002647D1"/>
    <w:rsid w:val="00273A0C"/>
    <w:rsid w:val="002947BB"/>
    <w:rsid w:val="002A3454"/>
    <w:rsid w:val="002A706C"/>
    <w:rsid w:val="002A7B56"/>
    <w:rsid w:val="002B6D43"/>
    <w:rsid w:val="002C0501"/>
    <w:rsid w:val="002D2FF6"/>
    <w:rsid w:val="002D4378"/>
    <w:rsid w:val="002E330A"/>
    <w:rsid w:val="00300160"/>
    <w:rsid w:val="00301BC2"/>
    <w:rsid w:val="003025BD"/>
    <w:rsid w:val="00302C28"/>
    <w:rsid w:val="0030654D"/>
    <w:rsid w:val="00310B71"/>
    <w:rsid w:val="00312E0A"/>
    <w:rsid w:val="00315974"/>
    <w:rsid w:val="003167D4"/>
    <w:rsid w:val="003201D9"/>
    <w:rsid w:val="00322B77"/>
    <w:rsid w:val="0032419A"/>
    <w:rsid w:val="00325FC6"/>
    <w:rsid w:val="00326A36"/>
    <w:rsid w:val="00330D18"/>
    <w:rsid w:val="00331572"/>
    <w:rsid w:val="00331C61"/>
    <w:rsid w:val="00335568"/>
    <w:rsid w:val="0033631A"/>
    <w:rsid w:val="00341B24"/>
    <w:rsid w:val="00344406"/>
    <w:rsid w:val="00344ADE"/>
    <w:rsid w:val="0034741D"/>
    <w:rsid w:val="00350CCC"/>
    <w:rsid w:val="00357B13"/>
    <w:rsid w:val="003603C4"/>
    <w:rsid w:val="00362232"/>
    <w:rsid w:val="00362C8B"/>
    <w:rsid w:val="0037087D"/>
    <w:rsid w:val="00371E56"/>
    <w:rsid w:val="00371FA8"/>
    <w:rsid w:val="0037296C"/>
    <w:rsid w:val="00375524"/>
    <w:rsid w:val="00375FEE"/>
    <w:rsid w:val="003770BD"/>
    <w:rsid w:val="00377BC2"/>
    <w:rsid w:val="00395563"/>
    <w:rsid w:val="003A000F"/>
    <w:rsid w:val="003A1068"/>
    <w:rsid w:val="003A5658"/>
    <w:rsid w:val="003B1C8B"/>
    <w:rsid w:val="003B50A3"/>
    <w:rsid w:val="003C0C44"/>
    <w:rsid w:val="003C108C"/>
    <w:rsid w:val="003C518B"/>
    <w:rsid w:val="003D4FC6"/>
    <w:rsid w:val="003E71A6"/>
    <w:rsid w:val="003E733E"/>
    <w:rsid w:val="003E7666"/>
    <w:rsid w:val="003E7EB5"/>
    <w:rsid w:val="003F02A2"/>
    <w:rsid w:val="003F1D8F"/>
    <w:rsid w:val="003F35AC"/>
    <w:rsid w:val="003F68C6"/>
    <w:rsid w:val="00405975"/>
    <w:rsid w:val="00413253"/>
    <w:rsid w:val="00417366"/>
    <w:rsid w:val="004206A1"/>
    <w:rsid w:val="00420DD5"/>
    <w:rsid w:val="00425E3D"/>
    <w:rsid w:val="0043617D"/>
    <w:rsid w:val="004364F3"/>
    <w:rsid w:val="0044312E"/>
    <w:rsid w:val="00454F5F"/>
    <w:rsid w:val="004606B4"/>
    <w:rsid w:val="00461775"/>
    <w:rsid w:val="00463A19"/>
    <w:rsid w:val="00464B66"/>
    <w:rsid w:val="00466C98"/>
    <w:rsid w:val="00466F15"/>
    <w:rsid w:val="00474892"/>
    <w:rsid w:val="00476234"/>
    <w:rsid w:val="004933A2"/>
    <w:rsid w:val="0049378E"/>
    <w:rsid w:val="00496DFE"/>
    <w:rsid w:val="004A65F9"/>
    <w:rsid w:val="004A7480"/>
    <w:rsid w:val="004B0DF8"/>
    <w:rsid w:val="004B26B8"/>
    <w:rsid w:val="004B2DDD"/>
    <w:rsid w:val="004B5074"/>
    <w:rsid w:val="004C396C"/>
    <w:rsid w:val="004D067D"/>
    <w:rsid w:val="004D1114"/>
    <w:rsid w:val="004D501B"/>
    <w:rsid w:val="004D722D"/>
    <w:rsid w:val="004E2384"/>
    <w:rsid w:val="004E27B2"/>
    <w:rsid w:val="004E30E1"/>
    <w:rsid w:val="004E7BED"/>
    <w:rsid w:val="004F1DA1"/>
    <w:rsid w:val="004F7176"/>
    <w:rsid w:val="00501448"/>
    <w:rsid w:val="00504BCD"/>
    <w:rsid w:val="00505ADB"/>
    <w:rsid w:val="00505D0A"/>
    <w:rsid w:val="00510B38"/>
    <w:rsid w:val="0051347B"/>
    <w:rsid w:val="00514C28"/>
    <w:rsid w:val="00515FBE"/>
    <w:rsid w:val="00520096"/>
    <w:rsid w:val="005309C4"/>
    <w:rsid w:val="00541269"/>
    <w:rsid w:val="005417E4"/>
    <w:rsid w:val="005420E1"/>
    <w:rsid w:val="00543580"/>
    <w:rsid w:val="00544F7B"/>
    <w:rsid w:val="005504BE"/>
    <w:rsid w:val="00550B3C"/>
    <w:rsid w:val="00557EF2"/>
    <w:rsid w:val="0056194A"/>
    <w:rsid w:val="00564E45"/>
    <w:rsid w:val="00571EC1"/>
    <w:rsid w:val="00574CBB"/>
    <w:rsid w:val="00575CD7"/>
    <w:rsid w:val="00576292"/>
    <w:rsid w:val="005809BC"/>
    <w:rsid w:val="00582E9D"/>
    <w:rsid w:val="00587DBB"/>
    <w:rsid w:val="0059043E"/>
    <w:rsid w:val="00595112"/>
    <w:rsid w:val="00595949"/>
    <w:rsid w:val="0059787E"/>
    <w:rsid w:val="005A415B"/>
    <w:rsid w:val="005B033C"/>
    <w:rsid w:val="005B0D11"/>
    <w:rsid w:val="005B5010"/>
    <w:rsid w:val="005B60B1"/>
    <w:rsid w:val="005C0AF0"/>
    <w:rsid w:val="005C25A3"/>
    <w:rsid w:val="005C617C"/>
    <w:rsid w:val="005C6E3A"/>
    <w:rsid w:val="005E11B8"/>
    <w:rsid w:val="005E612C"/>
    <w:rsid w:val="005E6521"/>
    <w:rsid w:val="005F1777"/>
    <w:rsid w:val="005F65B5"/>
    <w:rsid w:val="00600688"/>
    <w:rsid w:val="00607CD1"/>
    <w:rsid w:val="00613B7A"/>
    <w:rsid w:val="0061730B"/>
    <w:rsid w:val="00620BF9"/>
    <w:rsid w:val="006235E9"/>
    <w:rsid w:val="00623769"/>
    <w:rsid w:val="0062539A"/>
    <w:rsid w:val="00626FD5"/>
    <w:rsid w:val="00631B92"/>
    <w:rsid w:val="00632E1E"/>
    <w:rsid w:val="0063333C"/>
    <w:rsid w:val="006379A2"/>
    <w:rsid w:val="00640988"/>
    <w:rsid w:val="00644AF2"/>
    <w:rsid w:val="00653845"/>
    <w:rsid w:val="00653B0F"/>
    <w:rsid w:val="00653FD0"/>
    <w:rsid w:val="0065760C"/>
    <w:rsid w:val="00671511"/>
    <w:rsid w:val="006724A2"/>
    <w:rsid w:val="00673796"/>
    <w:rsid w:val="006925FB"/>
    <w:rsid w:val="006927F1"/>
    <w:rsid w:val="006932DA"/>
    <w:rsid w:val="00694865"/>
    <w:rsid w:val="006A26A1"/>
    <w:rsid w:val="006A46FA"/>
    <w:rsid w:val="006A7DDE"/>
    <w:rsid w:val="006B25BA"/>
    <w:rsid w:val="006B335B"/>
    <w:rsid w:val="006B7B87"/>
    <w:rsid w:val="006C5F96"/>
    <w:rsid w:val="006D16B3"/>
    <w:rsid w:val="006D316F"/>
    <w:rsid w:val="006D4CEA"/>
    <w:rsid w:val="006D7DEE"/>
    <w:rsid w:val="006E2969"/>
    <w:rsid w:val="006E3C80"/>
    <w:rsid w:val="006F1DF7"/>
    <w:rsid w:val="006F4272"/>
    <w:rsid w:val="007052EC"/>
    <w:rsid w:val="00707335"/>
    <w:rsid w:val="00711D33"/>
    <w:rsid w:val="00712C28"/>
    <w:rsid w:val="00713939"/>
    <w:rsid w:val="0071459A"/>
    <w:rsid w:val="007163A0"/>
    <w:rsid w:val="007200DB"/>
    <w:rsid w:val="00720A53"/>
    <w:rsid w:val="007238FC"/>
    <w:rsid w:val="007324D1"/>
    <w:rsid w:val="00737239"/>
    <w:rsid w:val="00740628"/>
    <w:rsid w:val="00761CAF"/>
    <w:rsid w:val="00764D37"/>
    <w:rsid w:val="00766C0E"/>
    <w:rsid w:val="00767436"/>
    <w:rsid w:val="00767DA3"/>
    <w:rsid w:val="00774E07"/>
    <w:rsid w:val="007755F5"/>
    <w:rsid w:val="0078158D"/>
    <w:rsid w:val="0078338F"/>
    <w:rsid w:val="007961F5"/>
    <w:rsid w:val="007A0BDC"/>
    <w:rsid w:val="007A1B81"/>
    <w:rsid w:val="007A1D57"/>
    <w:rsid w:val="007A2FB9"/>
    <w:rsid w:val="007A7107"/>
    <w:rsid w:val="007B06D9"/>
    <w:rsid w:val="007B15DF"/>
    <w:rsid w:val="007B3E2A"/>
    <w:rsid w:val="007B3E3F"/>
    <w:rsid w:val="007C7669"/>
    <w:rsid w:val="007D0478"/>
    <w:rsid w:val="007E1120"/>
    <w:rsid w:val="007E3AE5"/>
    <w:rsid w:val="007E5ABD"/>
    <w:rsid w:val="007E768C"/>
    <w:rsid w:val="007F0C6A"/>
    <w:rsid w:val="007F3364"/>
    <w:rsid w:val="007F6326"/>
    <w:rsid w:val="008022CD"/>
    <w:rsid w:val="00802D8A"/>
    <w:rsid w:val="008102F4"/>
    <w:rsid w:val="00810920"/>
    <w:rsid w:val="00814DBB"/>
    <w:rsid w:val="00816C7B"/>
    <w:rsid w:val="008219C3"/>
    <w:rsid w:val="00824066"/>
    <w:rsid w:val="0082616D"/>
    <w:rsid w:val="0083312F"/>
    <w:rsid w:val="00842682"/>
    <w:rsid w:val="00843223"/>
    <w:rsid w:val="00844011"/>
    <w:rsid w:val="00844480"/>
    <w:rsid w:val="00845110"/>
    <w:rsid w:val="0084596F"/>
    <w:rsid w:val="00845D92"/>
    <w:rsid w:val="0085193B"/>
    <w:rsid w:val="00853301"/>
    <w:rsid w:val="00860885"/>
    <w:rsid w:val="008608F7"/>
    <w:rsid w:val="008611A3"/>
    <w:rsid w:val="00864567"/>
    <w:rsid w:val="00864ABD"/>
    <w:rsid w:val="0086558E"/>
    <w:rsid w:val="00874451"/>
    <w:rsid w:val="00882CA5"/>
    <w:rsid w:val="008860E6"/>
    <w:rsid w:val="0089048E"/>
    <w:rsid w:val="00891531"/>
    <w:rsid w:val="008A1835"/>
    <w:rsid w:val="008A7AAA"/>
    <w:rsid w:val="008B103D"/>
    <w:rsid w:val="008B7F10"/>
    <w:rsid w:val="008C05BD"/>
    <w:rsid w:val="008C3DD8"/>
    <w:rsid w:val="008C5B4B"/>
    <w:rsid w:val="008D1706"/>
    <w:rsid w:val="008D27F6"/>
    <w:rsid w:val="008D4292"/>
    <w:rsid w:val="008D44E0"/>
    <w:rsid w:val="008D4884"/>
    <w:rsid w:val="008E129E"/>
    <w:rsid w:val="008E389D"/>
    <w:rsid w:val="008F00D3"/>
    <w:rsid w:val="008F1D3C"/>
    <w:rsid w:val="00902D4B"/>
    <w:rsid w:val="00905CC0"/>
    <w:rsid w:val="00911F14"/>
    <w:rsid w:val="00912DFC"/>
    <w:rsid w:val="009141F5"/>
    <w:rsid w:val="00915866"/>
    <w:rsid w:val="00916083"/>
    <w:rsid w:val="009174A3"/>
    <w:rsid w:val="00923021"/>
    <w:rsid w:val="0092399E"/>
    <w:rsid w:val="00925950"/>
    <w:rsid w:val="00926060"/>
    <w:rsid w:val="00940962"/>
    <w:rsid w:val="00945750"/>
    <w:rsid w:val="00945D7D"/>
    <w:rsid w:val="00950424"/>
    <w:rsid w:val="0095433F"/>
    <w:rsid w:val="0095512E"/>
    <w:rsid w:val="00957CB9"/>
    <w:rsid w:val="00961742"/>
    <w:rsid w:val="0096435A"/>
    <w:rsid w:val="00973E83"/>
    <w:rsid w:val="0097555E"/>
    <w:rsid w:val="00977659"/>
    <w:rsid w:val="009831A2"/>
    <w:rsid w:val="00985622"/>
    <w:rsid w:val="009919ED"/>
    <w:rsid w:val="00993C95"/>
    <w:rsid w:val="009A3391"/>
    <w:rsid w:val="009A64AA"/>
    <w:rsid w:val="009B4001"/>
    <w:rsid w:val="009B4F14"/>
    <w:rsid w:val="009C000D"/>
    <w:rsid w:val="009C3EC6"/>
    <w:rsid w:val="009D298F"/>
    <w:rsid w:val="009D2C56"/>
    <w:rsid w:val="009D2E22"/>
    <w:rsid w:val="009D4014"/>
    <w:rsid w:val="009D6C33"/>
    <w:rsid w:val="009E0419"/>
    <w:rsid w:val="009E0F16"/>
    <w:rsid w:val="009E22A3"/>
    <w:rsid w:val="009E48F5"/>
    <w:rsid w:val="009F283E"/>
    <w:rsid w:val="009F35C0"/>
    <w:rsid w:val="009F3E15"/>
    <w:rsid w:val="009F4107"/>
    <w:rsid w:val="009F42EC"/>
    <w:rsid w:val="009F74AC"/>
    <w:rsid w:val="00A008E8"/>
    <w:rsid w:val="00A00F69"/>
    <w:rsid w:val="00A05182"/>
    <w:rsid w:val="00A10942"/>
    <w:rsid w:val="00A1246B"/>
    <w:rsid w:val="00A1649E"/>
    <w:rsid w:val="00A20126"/>
    <w:rsid w:val="00A20858"/>
    <w:rsid w:val="00A223B3"/>
    <w:rsid w:val="00A236FE"/>
    <w:rsid w:val="00A2712F"/>
    <w:rsid w:val="00A40659"/>
    <w:rsid w:val="00A47E52"/>
    <w:rsid w:val="00A51173"/>
    <w:rsid w:val="00A52C7B"/>
    <w:rsid w:val="00A536B9"/>
    <w:rsid w:val="00A61F50"/>
    <w:rsid w:val="00A64206"/>
    <w:rsid w:val="00A65ABF"/>
    <w:rsid w:val="00A8606B"/>
    <w:rsid w:val="00A91383"/>
    <w:rsid w:val="00A9260E"/>
    <w:rsid w:val="00A92B10"/>
    <w:rsid w:val="00AB2663"/>
    <w:rsid w:val="00AB3E0E"/>
    <w:rsid w:val="00AB4CA1"/>
    <w:rsid w:val="00AB7A18"/>
    <w:rsid w:val="00AC0B4B"/>
    <w:rsid w:val="00AC114A"/>
    <w:rsid w:val="00AC14BE"/>
    <w:rsid w:val="00AD004C"/>
    <w:rsid w:val="00AD4A6A"/>
    <w:rsid w:val="00AE3A46"/>
    <w:rsid w:val="00AE7B29"/>
    <w:rsid w:val="00AF22FD"/>
    <w:rsid w:val="00B00B19"/>
    <w:rsid w:val="00B01024"/>
    <w:rsid w:val="00B016A9"/>
    <w:rsid w:val="00B03F24"/>
    <w:rsid w:val="00B12372"/>
    <w:rsid w:val="00B14ECA"/>
    <w:rsid w:val="00B15036"/>
    <w:rsid w:val="00B1604A"/>
    <w:rsid w:val="00B22BBD"/>
    <w:rsid w:val="00B22DEC"/>
    <w:rsid w:val="00B27133"/>
    <w:rsid w:val="00B300BA"/>
    <w:rsid w:val="00B30B77"/>
    <w:rsid w:val="00B344A0"/>
    <w:rsid w:val="00B40468"/>
    <w:rsid w:val="00B40767"/>
    <w:rsid w:val="00B47450"/>
    <w:rsid w:val="00B475C3"/>
    <w:rsid w:val="00B50D4D"/>
    <w:rsid w:val="00B51D56"/>
    <w:rsid w:val="00B526BA"/>
    <w:rsid w:val="00B55A4A"/>
    <w:rsid w:val="00B6141E"/>
    <w:rsid w:val="00B6530D"/>
    <w:rsid w:val="00B811B5"/>
    <w:rsid w:val="00B82236"/>
    <w:rsid w:val="00B84469"/>
    <w:rsid w:val="00B85B40"/>
    <w:rsid w:val="00B8691A"/>
    <w:rsid w:val="00BA64AE"/>
    <w:rsid w:val="00BB059B"/>
    <w:rsid w:val="00BB1529"/>
    <w:rsid w:val="00BB1D4C"/>
    <w:rsid w:val="00BB2F51"/>
    <w:rsid w:val="00BC086D"/>
    <w:rsid w:val="00BC2029"/>
    <w:rsid w:val="00BC4A81"/>
    <w:rsid w:val="00BC6647"/>
    <w:rsid w:val="00BC6E63"/>
    <w:rsid w:val="00BD141D"/>
    <w:rsid w:val="00BD14DE"/>
    <w:rsid w:val="00BD39F1"/>
    <w:rsid w:val="00BE0111"/>
    <w:rsid w:val="00BE26D0"/>
    <w:rsid w:val="00BE44E5"/>
    <w:rsid w:val="00BF17B3"/>
    <w:rsid w:val="00BF430A"/>
    <w:rsid w:val="00BF7F41"/>
    <w:rsid w:val="00C01795"/>
    <w:rsid w:val="00C06239"/>
    <w:rsid w:val="00C1031E"/>
    <w:rsid w:val="00C1731E"/>
    <w:rsid w:val="00C202A3"/>
    <w:rsid w:val="00C21595"/>
    <w:rsid w:val="00C25597"/>
    <w:rsid w:val="00C40336"/>
    <w:rsid w:val="00C4215B"/>
    <w:rsid w:val="00C54ACE"/>
    <w:rsid w:val="00C55DF3"/>
    <w:rsid w:val="00C61A9B"/>
    <w:rsid w:val="00C648DD"/>
    <w:rsid w:val="00C7307D"/>
    <w:rsid w:val="00C83E36"/>
    <w:rsid w:val="00C84390"/>
    <w:rsid w:val="00C92B9C"/>
    <w:rsid w:val="00C96865"/>
    <w:rsid w:val="00C96A23"/>
    <w:rsid w:val="00CA0603"/>
    <w:rsid w:val="00CA0E53"/>
    <w:rsid w:val="00CA3603"/>
    <w:rsid w:val="00CA6AF8"/>
    <w:rsid w:val="00CB572F"/>
    <w:rsid w:val="00CB6A72"/>
    <w:rsid w:val="00CB7940"/>
    <w:rsid w:val="00CC1AB5"/>
    <w:rsid w:val="00CC1DB6"/>
    <w:rsid w:val="00CC36DE"/>
    <w:rsid w:val="00CD0458"/>
    <w:rsid w:val="00CD0D16"/>
    <w:rsid w:val="00CE1153"/>
    <w:rsid w:val="00CF2597"/>
    <w:rsid w:val="00CF7A7B"/>
    <w:rsid w:val="00D10892"/>
    <w:rsid w:val="00D11296"/>
    <w:rsid w:val="00D137AB"/>
    <w:rsid w:val="00D17250"/>
    <w:rsid w:val="00D20C0A"/>
    <w:rsid w:val="00D20D26"/>
    <w:rsid w:val="00D21AD6"/>
    <w:rsid w:val="00D24BE3"/>
    <w:rsid w:val="00D346DF"/>
    <w:rsid w:val="00D37782"/>
    <w:rsid w:val="00D37AC2"/>
    <w:rsid w:val="00D51429"/>
    <w:rsid w:val="00D54055"/>
    <w:rsid w:val="00D54E17"/>
    <w:rsid w:val="00D5597B"/>
    <w:rsid w:val="00D57B2B"/>
    <w:rsid w:val="00D756EB"/>
    <w:rsid w:val="00D76805"/>
    <w:rsid w:val="00D836F0"/>
    <w:rsid w:val="00D91FFF"/>
    <w:rsid w:val="00DB052F"/>
    <w:rsid w:val="00DC12FB"/>
    <w:rsid w:val="00DD05B1"/>
    <w:rsid w:val="00DD0612"/>
    <w:rsid w:val="00DD5FA6"/>
    <w:rsid w:val="00DD6661"/>
    <w:rsid w:val="00DE1A2C"/>
    <w:rsid w:val="00DE47C9"/>
    <w:rsid w:val="00DF3E65"/>
    <w:rsid w:val="00DF70C7"/>
    <w:rsid w:val="00E00A96"/>
    <w:rsid w:val="00E01143"/>
    <w:rsid w:val="00E0601F"/>
    <w:rsid w:val="00E11A60"/>
    <w:rsid w:val="00E25C6F"/>
    <w:rsid w:val="00E322AA"/>
    <w:rsid w:val="00E40B2D"/>
    <w:rsid w:val="00E424A0"/>
    <w:rsid w:val="00E42E0B"/>
    <w:rsid w:val="00E50B6C"/>
    <w:rsid w:val="00E55C52"/>
    <w:rsid w:val="00E60820"/>
    <w:rsid w:val="00E63DAC"/>
    <w:rsid w:val="00E71DCA"/>
    <w:rsid w:val="00E722C4"/>
    <w:rsid w:val="00E74E70"/>
    <w:rsid w:val="00E81590"/>
    <w:rsid w:val="00E81A4F"/>
    <w:rsid w:val="00E83B15"/>
    <w:rsid w:val="00E93C28"/>
    <w:rsid w:val="00E95C6D"/>
    <w:rsid w:val="00E972A0"/>
    <w:rsid w:val="00EC2E70"/>
    <w:rsid w:val="00EC4530"/>
    <w:rsid w:val="00ED2282"/>
    <w:rsid w:val="00EE0297"/>
    <w:rsid w:val="00EE690F"/>
    <w:rsid w:val="00EE78C6"/>
    <w:rsid w:val="00EF72E7"/>
    <w:rsid w:val="00F00FE3"/>
    <w:rsid w:val="00F02110"/>
    <w:rsid w:val="00F04348"/>
    <w:rsid w:val="00F05234"/>
    <w:rsid w:val="00F138B1"/>
    <w:rsid w:val="00F15B9E"/>
    <w:rsid w:val="00F174B7"/>
    <w:rsid w:val="00F2037C"/>
    <w:rsid w:val="00F22DEC"/>
    <w:rsid w:val="00F24083"/>
    <w:rsid w:val="00F24A33"/>
    <w:rsid w:val="00F27111"/>
    <w:rsid w:val="00F2719D"/>
    <w:rsid w:val="00F31094"/>
    <w:rsid w:val="00F35123"/>
    <w:rsid w:val="00F36C5A"/>
    <w:rsid w:val="00F42191"/>
    <w:rsid w:val="00F43C84"/>
    <w:rsid w:val="00F454CE"/>
    <w:rsid w:val="00F52160"/>
    <w:rsid w:val="00F537F3"/>
    <w:rsid w:val="00F54A1E"/>
    <w:rsid w:val="00F5523B"/>
    <w:rsid w:val="00F573AF"/>
    <w:rsid w:val="00F6401A"/>
    <w:rsid w:val="00F661E2"/>
    <w:rsid w:val="00F8111B"/>
    <w:rsid w:val="00F86A4B"/>
    <w:rsid w:val="00F870C8"/>
    <w:rsid w:val="00F93838"/>
    <w:rsid w:val="00F940A1"/>
    <w:rsid w:val="00F97005"/>
    <w:rsid w:val="00F97830"/>
    <w:rsid w:val="00FA1B82"/>
    <w:rsid w:val="00FA7EC7"/>
    <w:rsid w:val="00FB4343"/>
    <w:rsid w:val="00FC0284"/>
    <w:rsid w:val="00FC437C"/>
    <w:rsid w:val="00FC5C9D"/>
    <w:rsid w:val="00FC6885"/>
    <w:rsid w:val="00FD37D0"/>
    <w:rsid w:val="00FD4D48"/>
    <w:rsid w:val="00FD5A24"/>
    <w:rsid w:val="00FD6620"/>
    <w:rsid w:val="00FD6F23"/>
    <w:rsid w:val="00FE50A5"/>
    <w:rsid w:val="00FE651E"/>
    <w:rsid w:val="00FF004E"/>
    <w:rsid w:val="00FF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3D1A5"/>
  <w15:docId w15:val="{016220E7-B51F-4216-AA9D-319F304E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603"/>
  </w:style>
  <w:style w:type="paragraph" w:styleId="Heading1">
    <w:name w:val="heading 1"/>
    <w:basedOn w:val="Normal"/>
    <w:next w:val="Normal"/>
    <w:qFormat/>
    <w:rsid w:val="00CA0603"/>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0603"/>
    <w:pPr>
      <w:jc w:val="center"/>
    </w:pPr>
    <w:rPr>
      <w:b/>
      <w:bCs/>
      <w:sz w:val="24"/>
    </w:rPr>
  </w:style>
  <w:style w:type="paragraph" w:styleId="FootnoteText">
    <w:name w:val="footnote text"/>
    <w:basedOn w:val="Normal"/>
    <w:semiHidden/>
    <w:rsid w:val="00CA0603"/>
  </w:style>
  <w:style w:type="character" w:styleId="FootnoteReference">
    <w:name w:val="footnote reference"/>
    <w:basedOn w:val="DefaultParagraphFont"/>
    <w:semiHidden/>
    <w:rsid w:val="00CA0603"/>
    <w:rPr>
      <w:vertAlign w:val="superscript"/>
    </w:rPr>
  </w:style>
  <w:style w:type="paragraph" w:styleId="BodyText">
    <w:name w:val="Body Text"/>
    <w:basedOn w:val="Normal"/>
    <w:rsid w:val="00CA0603"/>
    <w:pPr>
      <w:jc w:val="both"/>
    </w:pPr>
  </w:style>
  <w:style w:type="paragraph" w:styleId="BodyTextIndent">
    <w:name w:val="Body Text Indent"/>
    <w:basedOn w:val="Normal"/>
    <w:rsid w:val="00CA0603"/>
    <w:pPr>
      <w:ind w:firstLine="360"/>
      <w:jc w:val="both"/>
    </w:pPr>
  </w:style>
  <w:style w:type="paragraph" w:styleId="BodyTextIndent2">
    <w:name w:val="Body Text Indent 2"/>
    <w:basedOn w:val="Normal"/>
    <w:rsid w:val="00CA0603"/>
    <w:pPr>
      <w:ind w:firstLine="270"/>
      <w:jc w:val="both"/>
    </w:pPr>
  </w:style>
  <w:style w:type="character" w:styleId="Hyperlink">
    <w:name w:val="Hyperlink"/>
    <w:basedOn w:val="DefaultParagraphFont"/>
    <w:rsid w:val="00CA0603"/>
    <w:rPr>
      <w:color w:val="0000FF"/>
      <w:u w:val="single"/>
    </w:rPr>
  </w:style>
  <w:style w:type="paragraph" w:styleId="Header">
    <w:name w:val="header"/>
    <w:basedOn w:val="Normal"/>
    <w:rsid w:val="005C6E3A"/>
    <w:pPr>
      <w:tabs>
        <w:tab w:val="center" w:pos="4320"/>
        <w:tab w:val="right" w:pos="8640"/>
      </w:tabs>
    </w:pPr>
  </w:style>
  <w:style w:type="paragraph" w:styleId="Footer">
    <w:name w:val="footer"/>
    <w:basedOn w:val="Normal"/>
    <w:rsid w:val="005C6E3A"/>
    <w:pPr>
      <w:tabs>
        <w:tab w:val="center" w:pos="4320"/>
        <w:tab w:val="right" w:pos="8640"/>
      </w:tabs>
    </w:pPr>
  </w:style>
  <w:style w:type="character" w:styleId="PageNumber">
    <w:name w:val="page number"/>
    <w:basedOn w:val="DefaultParagraphFont"/>
    <w:rsid w:val="005C6E3A"/>
  </w:style>
  <w:style w:type="paragraph" w:styleId="NoSpacing">
    <w:name w:val="No Spacing"/>
    <w:uiPriority w:val="1"/>
    <w:qFormat/>
    <w:rsid w:val="005E6521"/>
    <w:pPr>
      <w:ind w:left="1166" w:hanging="446"/>
    </w:pPr>
    <w:rPr>
      <w:rFonts w:ascii="Calibri" w:eastAsia="Calibri" w:hAnsi="Calibri"/>
      <w:sz w:val="22"/>
      <w:szCs w:val="22"/>
    </w:rPr>
  </w:style>
  <w:style w:type="character" w:styleId="HTMLCite">
    <w:name w:val="HTML Cite"/>
    <w:basedOn w:val="DefaultParagraphFont"/>
    <w:uiPriority w:val="99"/>
    <w:semiHidden/>
    <w:unhideWhenUsed/>
    <w:rsid w:val="00802D8A"/>
    <w:rPr>
      <w:i/>
      <w:iCs/>
    </w:rPr>
  </w:style>
  <w:style w:type="table" w:styleId="TableGrid">
    <w:name w:val="Table Grid"/>
    <w:basedOn w:val="TableNormal"/>
    <w:uiPriority w:val="59"/>
    <w:rsid w:val="00A47E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mblacktext">
    <w:name w:val="smblacktext"/>
    <w:basedOn w:val="DefaultParagraphFont"/>
    <w:rsid w:val="0085193B"/>
  </w:style>
  <w:style w:type="table" w:customStyle="1" w:styleId="LightShading1">
    <w:name w:val="Light Shading1"/>
    <w:basedOn w:val="TableNormal"/>
    <w:uiPriority w:val="60"/>
    <w:rsid w:val="003B1C8B"/>
    <w:pPr>
      <w:ind w:left="1166" w:hanging="446"/>
    </w:pPr>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rsid w:val="003B1C8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unhideWhenUsed/>
    <w:rsid w:val="003A5658"/>
    <w:rPr>
      <w:rFonts w:ascii="Tahoma" w:hAnsi="Tahoma" w:cs="Tahoma"/>
      <w:sz w:val="16"/>
      <w:szCs w:val="16"/>
    </w:rPr>
  </w:style>
  <w:style w:type="character" w:customStyle="1" w:styleId="BalloonTextChar">
    <w:name w:val="Balloon Text Char"/>
    <w:basedOn w:val="DefaultParagraphFont"/>
    <w:link w:val="BalloonText"/>
    <w:uiPriority w:val="99"/>
    <w:semiHidden/>
    <w:rsid w:val="003A5658"/>
    <w:rPr>
      <w:rFonts w:ascii="Tahoma" w:hAnsi="Tahoma" w:cs="Tahoma"/>
      <w:sz w:val="16"/>
      <w:szCs w:val="16"/>
    </w:rPr>
  </w:style>
  <w:style w:type="character" w:styleId="PlaceholderText">
    <w:name w:val="Placeholder Text"/>
    <w:basedOn w:val="DefaultParagraphFont"/>
    <w:uiPriority w:val="99"/>
    <w:semiHidden/>
    <w:rsid w:val="006B7B87"/>
    <w:rPr>
      <w:color w:val="808080"/>
    </w:rPr>
  </w:style>
  <w:style w:type="character" w:styleId="CommentReference">
    <w:name w:val="annotation reference"/>
    <w:basedOn w:val="DefaultParagraphFont"/>
    <w:uiPriority w:val="99"/>
    <w:semiHidden/>
    <w:unhideWhenUsed/>
    <w:rsid w:val="007238FC"/>
    <w:rPr>
      <w:sz w:val="16"/>
      <w:szCs w:val="16"/>
    </w:rPr>
  </w:style>
  <w:style w:type="paragraph" w:styleId="CommentText">
    <w:name w:val="annotation text"/>
    <w:basedOn w:val="Normal"/>
    <w:link w:val="CommentTextChar"/>
    <w:uiPriority w:val="99"/>
    <w:semiHidden/>
    <w:unhideWhenUsed/>
    <w:rsid w:val="007238FC"/>
  </w:style>
  <w:style w:type="character" w:customStyle="1" w:styleId="CommentTextChar">
    <w:name w:val="Comment Text Char"/>
    <w:basedOn w:val="DefaultParagraphFont"/>
    <w:link w:val="CommentText"/>
    <w:uiPriority w:val="99"/>
    <w:semiHidden/>
    <w:rsid w:val="007238FC"/>
  </w:style>
  <w:style w:type="paragraph" w:styleId="CommentSubject">
    <w:name w:val="annotation subject"/>
    <w:basedOn w:val="CommentText"/>
    <w:next w:val="CommentText"/>
    <w:link w:val="CommentSubjectChar"/>
    <w:uiPriority w:val="99"/>
    <w:semiHidden/>
    <w:unhideWhenUsed/>
    <w:rsid w:val="007238FC"/>
    <w:rPr>
      <w:b/>
      <w:bCs/>
    </w:rPr>
  </w:style>
  <w:style w:type="character" w:customStyle="1" w:styleId="CommentSubjectChar">
    <w:name w:val="Comment Subject Char"/>
    <w:basedOn w:val="CommentTextChar"/>
    <w:link w:val="CommentSubject"/>
    <w:uiPriority w:val="99"/>
    <w:semiHidden/>
    <w:rsid w:val="007238FC"/>
    <w:rPr>
      <w:b/>
      <w:bCs/>
    </w:rPr>
  </w:style>
  <w:style w:type="paragraph" w:styleId="ListParagraph">
    <w:name w:val="List Paragraph"/>
    <w:basedOn w:val="Normal"/>
    <w:uiPriority w:val="34"/>
    <w:qFormat/>
    <w:rsid w:val="009D2E22"/>
    <w:pPr>
      <w:ind w:left="720"/>
      <w:contextualSpacing/>
    </w:pPr>
  </w:style>
  <w:style w:type="paragraph" w:styleId="NormalWeb">
    <w:name w:val="Normal (Web)"/>
    <w:basedOn w:val="Normal"/>
    <w:uiPriority w:val="99"/>
    <w:semiHidden/>
    <w:unhideWhenUsed/>
    <w:rsid w:val="00330D18"/>
    <w:pPr>
      <w:spacing w:before="100" w:beforeAutospacing="1" w:after="100" w:afterAutospacing="1"/>
    </w:pPr>
    <w:rPr>
      <w:sz w:val="24"/>
      <w:szCs w:val="24"/>
    </w:rPr>
  </w:style>
  <w:style w:type="character" w:styleId="Emphasis">
    <w:name w:val="Emphasis"/>
    <w:basedOn w:val="DefaultParagraphFont"/>
    <w:uiPriority w:val="20"/>
    <w:qFormat/>
    <w:rsid w:val="00330D18"/>
    <w:rPr>
      <w:i/>
      <w:iCs/>
    </w:rPr>
  </w:style>
  <w:style w:type="character" w:customStyle="1" w:styleId="apple-converted-space">
    <w:name w:val="apple-converted-space"/>
    <w:basedOn w:val="DefaultParagraphFont"/>
    <w:rsid w:val="0033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35185">
      <w:bodyDiv w:val="1"/>
      <w:marLeft w:val="0"/>
      <w:marRight w:val="0"/>
      <w:marTop w:val="0"/>
      <w:marBottom w:val="0"/>
      <w:divBdr>
        <w:top w:val="none" w:sz="0" w:space="0" w:color="auto"/>
        <w:left w:val="none" w:sz="0" w:space="0" w:color="auto"/>
        <w:bottom w:val="none" w:sz="0" w:space="0" w:color="auto"/>
        <w:right w:val="none" w:sz="0" w:space="0" w:color="auto"/>
      </w:divBdr>
    </w:div>
    <w:div w:id="444352201">
      <w:bodyDiv w:val="1"/>
      <w:marLeft w:val="0"/>
      <w:marRight w:val="0"/>
      <w:marTop w:val="0"/>
      <w:marBottom w:val="0"/>
      <w:divBdr>
        <w:top w:val="none" w:sz="0" w:space="0" w:color="auto"/>
        <w:left w:val="none" w:sz="0" w:space="0" w:color="auto"/>
        <w:bottom w:val="none" w:sz="0" w:space="0" w:color="auto"/>
        <w:right w:val="none" w:sz="0" w:space="0" w:color="auto"/>
      </w:divBdr>
    </w:div>
    <w:div w:id="450973028">
      <w:bodyDiv w:val="1"/>
      <w:marLeft w:val="0"/>
      <w:marRight w:val="0"/>
      <w:marTop w:val="0"/>
      <w:marBottom w:val="0"/>
      <w:divBdr>
        <w:top w:val="none" w:sz="0" w:space="0" w:color="auto"/>
        <w:left w:val="none" w:sz="0" w:space="0" w:color="auto"/>
        <w:bottom w:val="none" w:sz="0" w:space="0" w:color="auto"/>
        <w:right w:val="none" w:sz="0" w:space="0" w:color="auto"/>
      </w:divBdr>
    </w:div>
    <w:div w:id="514156414">
      <w:bodyDiv w:val="1"/>
      <w:marLeft w:val="0"/>
      <w:marRight w:val="0"/>
      <w:marTop w:val="0"/>
      <w:marBottom w:val="0"/>
      <w:divBdr>
        <w:top w:val="none" w:sz="0" w:space="0" w:color="auto"/>
        <w:left w:val="none" w:sz="0" w:space="0" w:color="auto"/>
        <w:bottom w:val="none" w:sz="0" w:space="0" w:color="auto"/>
        <w:right w:val="none" w:sz="0" w:space="0" w:color="auto"/>
      </w:divBdr>
    </w:div>
    <w:div w:id="639966826">
      <w:bodyDiv w:val="1"/>
      <w:marLeft w:val="0"/>
      <w:marRight w:val="0"/>
      <w:marTop w:val="0"/>
      <w:marBottom w:val="0"/>
      <w:divBdr>
        <w:top w:val="none" w:sz="0" w:space="0" w:color="auto"/>
        <w:left w:val="none" w:sz="0" w:space="0" w:color="auto"/>
        <w:bottom w:val="none" w:sz="0" w:space="0" w:color="auto"/>
        <w:right w:val="none" w:sz="0" w:space="0" w:color="auto"/>
      </w:divBdr>
    </w:div>
    <w:div w:id="808327970">
      <w:bodyDiv w:val="1"/>
      <w:marLeft w:val="0"/>
      <w:marRight w:val="0"/>
      <w:marTop w:val="0"/>
      <w:marBottom w:val="0"/>
      <w:divBdr>
        <w:top w:val="none" w:sz="0" w:space="0" w:color="auto"/>
        <w:left w:val="none" w:sz="0" w:space="0" w:color="auto"/>
        <w:bottom w:val="none" w:sz="0" w:space="0" w:color="auto"/>
        <w:right w:val="none" w:sz="0" w:space="0" w:color="auto"/>
      </w:divBdr>
    </w:div>
    <w:div w:id="851379644">
      <w:bodyDiv w:val="1"/>
      <w:marLeft w:val="0"/>
      <w:marRight w:val="0"/>
      <w:marTop w:val="0"/>
      <w:marBottom w:val="0"/>
      <w:divBdr>
        <w:top w:val="none" w:sz="0" w:space="0" w:color="auto"/>
        <w:left w:val="none" w:sz="0" w:space="0" w:color="auto"/>
        <w:bottom w:val="none" w:sz="0" w:space="0" w:color="auto"/>
        <w:right w:val="none" w:sz="0" w:space="0" w:color="auto"/>
      </w:divBdr>
    </w:div>
    <w:div w:id="1139422735">
      <w:bodyDiv w:val="1"/>
      <w:marLeft w:val="0"/>
      <w:marRight w:val="0"/>
      <w:marTop w:val="0"/>
      <w:marBottom w:val="0"/>
      <w:divBdr>
        <w:top w:val="none" w:sz="0" w:space="0" w:color="auto"/>
        <w:left w:val="none" w:sz="0" w:space="0" w:color="auto"/>
        <w:bottom w:val="none" w:sz="0" w:space="0" w:color="auto"/>
        <w:right w:val="none" w:sz="0" w:space="0" w:color="auto"/>
      </w:divBdr>
    </w:div>
    <w:div w:id="1344744659">
      <w:bodyDiv w:val="1"/>
      <w:marLeft w:val="0"/>
      <w:marRight w:val="0"/>
      <w:marTop w:val="0"/>
      <w:marBottom w:val="0"/>
      <w:divBdr>
        <w:top w:val="none" w:sz="0" w:space="0" w:color="auto"/>
        <w:left w:val="none" w:sz="0" w:space="0" w:color="auto"/>
        <w:bottom w:val="none" w:sz="0" w:space="0" w:color="auto"/>
        <w:right w:val="none" w:sz="0" w:space="0" w:color="auto"/>
      </w:divBdr>
    </w:div>
    <w:div w:id="1702851979">
      <w:bodyDiv w:val="1"/>
      <w:marLeft w:val="0"/>
      <w:marRight w:val="0"/>
      <w:marTop w:val="0"/>
      <w:marBottom w:val="0"/>
      <w:divBdr>
        <w:top w:val="none" w:sz="0" w:space="0" w:color="auto"/>
        <w:left w:val="none" w:sz="0" w:space="0" w:color="auto"/>
        <w:bottom w:val="none" w:sz="0" w:space="0" w:color="auto"/>
        <w:right w:val="none" w:sz="0" w:space="0" w:color="auto"/>
      </w:divBdr>
    </w:div>
    <w:div w:id="1747070343">
      <w:bodyDiv w:val="1"/>
      <w:marLeft w:val="0"/>
      <w:marRight w:val="0"/>
      <w:marTop w:val="0"/>
      <w:marBottom w:val="0"/>
      <w:divBdr>
        <w:top w:val="none" w:sz="0" w:space="0" w:color="auto"/>
        <w:left w:val="none" w:sz="0" w:space="0" w:color="auto"/>
        <w:bottom w:val="none" w:sz="0" w:space="0" w:color="auto"/>
        <w:right w:val="none" w:sz="0" w:space="0" w:color="auto"/>
      </w:divBdr>
    </w:div>
    <w:div w:id="1843473061">
      <w:bodyDiv w:val="1"/>
      <w:marLeft w:val="0"/>
      <w:marRight w:val="0"/>
      <w:marTop w:val="0"/>
      <w:marBottom w:val="0"/>
      <w:divBdr>
        <w:top w:val="none" w:sz="0" w:space="0" w:color="auto"/>
        <w:left w:val="none" w:sz="0" w:space="0" w:color="auto"/>
        <w:bottom w:val="none" w:sz="0" w:space="0" w:color="auto"/>
        <w:right w:val="none" w:sz="0" w:space="0" w:color="auto"/>
      </w:divBdr>
    </w:div>
    <w:div w:id="1865048706">
      <w:bodyDiv w:val="1"/>
      <w:marLeft w:val="0"/>
      <w:marRight w:val="0"/>
      <w:marTop w:val="0"/>
      <w:marBottom w:val="0"/>
      <w:divBdr>
        <w:top w:val="none" w:sz="0" w:space="0" w:color="auto"/>
        <w:left w:val="none" w:sz="0" w:space="0" w:color="auto"/>
        <w:bottom w:val="none" w:sz="0" w:space="0" w:color="auto"/>
        <w:right w:val="none" w:sz="0" w:space="0" w:color="auto"/>
      </w:divBdr>
    </w:div>
    <w:div w:id="1895658692">
      <w:bodyDiv w:val="1"/>
      <w:marLeft w:val="0"/>
      <w:marRight w:val="0"/>
      <w:marTop w:val="0"/>
      <w:marBottom w:val="0"/>
      <w:divBdr>
        <w:top w:val="none" w:sz="0" w:space="0" w:color="auto"/>
        <w:left w:val="none" w:sz="0" w:space="0" w:color="auto"/>
        <w:bottom w:val="none" w:sz="0" w:space="0" w:color="auto"/>
        <w:right w:val="none" w:sz="0" w:space="0" w:color="auto"/>
      </w:divBdr>
    </w:div>
    <w:div w:id="1982074492">
      <w:bodyDiv w:val="1"/>
      <w:marLeft w:val="0"/>
      <w:marRight w:val="0"/>
      <w:marTop w:val="0"/>
      <w:marBottom w:val="0"/>
      <w:divBdr>
        <w:top w:val="none" w:sz="0" w:space="0" w:color="auto"/>
        <w:left w:val="none" w:sz="0" w:space="0" w:color="auto"/>
        <w:bottom w:val="none" w:sz="0" w:space="0" w:color="auto"/>
        <w:right w:val="none" w:sz="0" w:space="0" w:color="auto"/>
      </w:divBdr>
    </w:div>
    <w:div w:id="2043436767">
      <w:bodyDiv w:val="1"/>
      <w:marLeft w:val="0"/>
      <w:marRight w:val="0"/>
      <w:marTop w:val="0"/>
      <w:marBottom w:val="0"/>
      <w:divBdr>
        <w:top w:val="none" w:sz="0" w:space="0" w:color="auto"/>
        <w:left w:val="none" w:sz="0" w:space="0" w:color="auto"/>
        <w:bottom w:val="none" w:sz="0" w:space="0" w:color="auto"/>
        <w:right w:val="none" w:sz="0" w:space="0" w:color="auto"/>
      </w:divBdr>
    </w:div>
    <w:div w:id="2079209551">
      <w:bodyDiv w:val="1"/>
      <w:marLeft w:val="0"/>
      <w:marRight w:val="0"/>
      <w:marTop w:val="0"/>
      <w:marBottom w:val="0"/>
      <w:divBdr>
        <w:top w:val="none" w:sz="0" w:space="0" w:color="auto"/>
        <w:left w:val="none" w:sz="0" w:space="0" w:color="auto"/>
        <w:bottom w:val="none" w:sz="0" w:space="0" w:color="auto"/>
        <w:right w:val="none" w:sz="0" w:space="0" w:color="auto"/>
      </w:divBdr>
    </w:div>
    <w:div w:id="20816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638334464390299"/>
          <c:y val="4.6462558942309863E-2"/>
          <c:w val="0.78068960388215936"/>
          <c:h val="0.69682053504779795"/>
        </c:manualLayout>
      </c:layout>
      <c:scatterChart>
        <c:scatterStyle val="smoothMarker"/>
        <c:varyColors val="0"/>
        <c:ser>
          <c:idx val="2"/>
          <c:order val="0"/>
          <c:tx>
            <c:v>3:1 Capstone Triton 1% DGBE</c:v>
          </c:tx>
          <c:spPr>
            <a:ln w="25400" cap="rnd">
              <a:solidFill>
                <a:schemeClr val="accent6">
                  <a:lumMod val="75000"/>
                </a:schemeClr>
              </a:solidFill>
              <a:round/>
            </a:ln>
            <a:effectLst/>
          </c:spPr>
          <c:marker>
            <c:symbol val="x"/>
            <c:size val="7"/>
            <c:spPr>
              <a:solidFill>
                <a:schemeClr val="accent6">
                  <a:lumMod val="75000"/>
                </a:schemeClr>
              </a:solidFill>
              <a:ln w="9525">
                <a:solidFill>
                  <a:schemeClr val="accent6">
                    <a:lumMod val="75000"/>
                  </a:schemeClr>
                </a:solidFill>
              </a:ln>
              <a:effectLst/>
            </c:spPr>
          </c:marker>
          <c:xVal>
            <c:numRef>
              <c:f>'3_1_CapstoneTriton1perButylinWa'!$G$3:$G$32</c:f>
              <c:numCache>
                <c:formatCode>General</c:formatCode>
                <c:ptCount val="30"/>
                <c:pt idx="0">
                  <c:v>10.6</c:v>
                </c:pt>
                <c:pt idx="1">
                  <c:v>11.6</c:v>
                </c:pt>
                <c:pt idx="2">
                  <c:v>14.6</c:v>
                </c:pt>
                <c:pt idx="3">
                  <c:v>18.2</c:v>
                </c:pt>
                <c:pt idx="4">
                  <c:v>23.7</c:v>
                </c:pt>
                <c:pt idx="5">
                  <c:v>28.7</c:v>
                </c:pt>
                <c:pt idx="6">
                  <c:v>36.9</c:v>
                </c:pt>
                <c:pt idx="7">
                  <c:v>46.4</c:v>
                </c:pt>
                <c:pt idx="8">
                  <c:v>57.1</c:v>
                </c:pt>
                <c:pt idx="9">
                  <c:v>74.400000000000006</c:v>
                </c:pt>
                <c:pt idx="10">
                  <c:v>90.4</c:v>
                </c:pt>
                <c:pt idx="11">
                  <c:v>115.7</c:v>
                </c:pt>
                <c:pt idx="12">
                  <c:v>145.80000000000001</c:v>
                </c:pt>
                <c:pt idx="13">
                  <c:v>185.8</c:v>
                </c:pt>
                <c:pt idx="14">
                  <c:v>233.7</c:v>
                </c:pt>
                <c:pt idx="15">
                  <c:v>283.89999999999998</c:v>
                </c:pt>
                <c:pt idx="16">
                  <c:v>369.7</c:v>
                </c:pt>
                <c:pt idx="17">
                  <c:v>454.2</c:v>
                </c:pt>
                <c:pt idx="18">
                  <c:v>566.1</c:v>
                </c:pt>
                <c:pt idx="19">
                  <c:v>712</c:v>
                </c:pt>
                <c:pt idx="20">
                  <c:v>907.7</c:v>
                </c:pt>
                <c:pt idx="21">
                  <c:v>1167.9000000000001</c:v>
                </c:pt>
                <c:pt idx="22">
                  <c:v>1486.4</c:v>
                </c:pt>
                <c:pt idx="23">
                  <c:v>1775.1</c:v>
                </c:pt>
                <c:pt idx="24">
                  <c:v>2312.1999999999998</c:v>
                </c:pt>
                <c:pt idx="25">
                  <c:v>2863.5</c:v>
                </c:pt>
                <c:pt idx="26">
                  <c:v>3629.5</c:v>
                </c:pt>
                <c:pt idx="27">
                  <c:v>4479.6000000000004</c:v>
                </c:pt>
                <c:pt idx="28">
                  <c:v>7028.9</c:v>
                </c:pt>
                <c:pt idx="29">
                  <c:v>7390.8</c:v>
                </c:pt>
              </c:numCache>
            </c:numRef>
          </c:xVal>
          <c:yVal>
            <c:numRef>
              <c:f>'3_1_CapstoneTriton1perButylinWa'!$H$3:$H$32</c:f>
              <c:numCache>
                <c:formatCode>General</c:formatCode>
                <c:ptCount val="30"/>
                <c:pt idx="0">
                  <c:v>44.2</c:v>
                </c:pt>
                <c:pt idx="1">
                  <c:v>43.6</c:v>
                </c:pt>
                <c:pt idx="2">
                  <c:v>42.3</c:v>
                </c:pt>
                <c:pt idx="3">
                  <c:v>41.5</c:v>
                </c:pt>
                <c:pt idx="4">
                  <c:v>40.799999999999997</c:v>
                </c:pt>
                <c:pt idx="5">
                  <c:v>39.799999999999997</c:v>
                </c:pt>
                <c:pt idx="6">
                  <c:v>40.299999999999997</c:v>
                </c:pt>
                <c:pt idx="7">
                  <c:v>38</c:v>
                </c:pt>
                <c:pt idx="8">
                  <c:v>37</c:v>
                </c:pt>
                <c:pt idx="9">
                  <c:v>36.799999999999997</c:v>
                </c:pt>
                <c:pt idx="10">
                  <c:v>34.700000000000003</c:v>
                </c:pt>
                <c:pt idx="11">
                  <c:v>33.1</c:v>
                </c:pt>
                <c:pt idx="12">
                  <c:v>31.9</c:v>
                </c:pt>
                <c:pt idx="13">
                  <c:v>31.1</c:v>
                </c:pt>
                <c:pt idx="14">
                  <c:v>29.2</c:v>
                </c:pt>
                <c:pt idx="15">
                  <c:v>28</c:v>
                </c:pt>
                <c:pt idx="16">
                  <c:v>26.3</c:v>
                </c:pt>
                <c:pt idx="17">
                  <c:v>25.2</c:v>
                </c:pt>
                <c:pt idx="18">
                  <c:v>25</c:v>
                </c:pt>
                <c:pt idx="19">
                  <c:v>24.3</c:v>
                </c:pt>
                <c:pt idx="20">
                  <c:v>22.5</c:v>
                </c:pt>
                <c:pt idx="21">
                  <c:v>21.5</c:v>
                </c:pt>
                <c:pt idx="22">
                  <c:v>20.6</c:v>
                </c:pt>
                <c:pt idx="23">
                  <c:v>19.7</c:v>
                </c:pt>
                <c:pt idx="24">
                  <c:v>19</c:v>
                </c:pt>
                <c:pt idx="25">
                  <c:v>18.3</c:v>
                </c:pt>
                <c:pt idx="26">
                  <c:v>17.8</c:v>
                </c:pt>
                <c:pt idx="27">
                  <c:v>18.100000000000001</c:v>
                </c:pt>
                <c:pt idx="28">
                  <c:v>17.3</c:v>
                </c:pt>
                <c:pt idx="29">
                  <c:v>17.3</c:v>
                </c:pt>
              </c:numCache>
            </c:numRef>
          </c:yVal>
          <c:smooth val="1"/>
        </c:ser>
        <c:ser>
          <c:idx val="6"/>
          <c:order val="1"/>
          <c:tx>
            <c:v>AFFF 3%</c:v>
          </c:tx>
          <c:spPr>
            <a:ln w="25400" cap="rnd">
              <a:solidFill>
                <a:schemeClr val="tx1"/>
              </a:solidFill>
              <a:round/>
            </a:ln>
            <a:effectLst/>
          </c:spPr>
          <c:marker>
            <c:symbol val="triangle"/>
            <c:size val="7"/>
            <c:spPr>
              <a:solidFill>
                <a:schemeClr val="tx1"/>
              </a:solidFill>
              <a:ln w="9525">
                <a:solidFill>
                  <a:schemeClr val="tx1"/>
                </a:solidFill>
              </a:ln>
              <a:effectLst/>
            </c:spPr>
          </c:marker>
          <c:xVal>
            <c:numRef>
              <c:f>NationalFoamConcentrate!$J$2:$J$31</c:f>
              <c:numCache>
                <c:formatCode>General</c:formatCode>
                <c:ptCount val="30"/>
                <c:pt idx="0">
                  <c:v>10.5</c:v>
                </c:pt>
                <c:pt idx="1">
                  <c:v>11.4</c:v>
                </c:pt>
                <c:pt idx="2">
                  <c:v>14.5</c:v>
                </c:pt>
                <c:pt idx="3">
                  <c:v>18.399999999999999</c:v>
                </c:pt>
                <c:pt idx="4">
                  <c:v>23.2</c:v>
                </c:pt>
                <c:pt idx="5">
                  <c:v>30.8</c:v>
                </c:pt>
                <c:pt idx="6">
                  <c:v>36.1</c:v>
                </c:pt>
                <c:pt idx="7">
                  <c:v>46</c:v>
                </c:pt>
                <c:pt idx="8">
                  <c:v>56.9</c:v>
                </c:pt>
                <c:pt idx="9">
                  <c:v>73.900000000000006</c:v>
                </c:pt>
                <c:pt idx="10">
                  <c:v>90.9</c:v>
                </c:pt>
                <c:pt idx="11">
                  <c:v>115.4</c:v>
                </c:pt>
                <c:pt idx="12">
                  <c:v>144.69999999999999</c:v>
                </c:pt>
                <c:pt idx="13">
                  <c:v>181</c:v>
                </c:pt>
                <c:pt idx="14">
                  <c:v>229.7</c:v>
                </c:pt>
                <c:pt idx="15">
                  <c:v>287.5</c:v>
                </c:pt>
                <c:pt idx="16">
                  <c:v>365.1</c:v>
                </c:pt>
                <c:pt idx="17">
                  <c:v>449.5</c:v>
                </c:pt>
                <c:pt idx="18">
                  <c:v>577</c:v>
                </c:pt>
                <c:pt idx="19">
                  <c:v>736.4</c:v>
                </c:pt>
                <c:pt idx="20">
                  <c:v>911.9</c:v>
                </c:pt>
                <c:pt idx="21">
                  <c:v>1185.3</c:v>
                </c:pt>
                <c:pt idx="22">
                  <c:v>1581.9</c:v>
                </c:pt>
                <c:pt idx="23">
                  <c:v>1788.1</c:v>
                </c:pt>
                <c:pt idx="24">
                  <c:v>2408.8000000000002</c:v>
                </c:pt>
                <c:pt idx="25">
                  <c:v>2860.7</c:v>
                </c:pt>
                <c:pt idx="26">
                  <c:v>3703.9</c:v>
                </c:pt>
                <c:pt idx="27">
                  <c:v>4751.2</c:v>
                </c:pt>
                <c:pt idx="28">
                  <c:v>6623.3</c:v>
                </c:pt>
                <c:pt idx="29">
                  <c:v>6981.1</c:v>
                </c:pt>
              </c:numCache>
            </c:numRef>
          </c:xVal>
          <c:yVal>
            <c:numRef>
              <c:f>NationalFoamConcentrate!$K$2:$K$31</c:f>
              <c:numCache>
                <c:formatCode>General</c:formatCode>
                <c:ptCount val="30"/>
                <c:pt idx="0">
                  <c:v>47.3</c:v>
                </c:pt>
                <c:pt idx="1">
                  <c:v>47</c:v>
                </c:pt>
                <c:pt idx="2">
                  <c:v>43.9</c:v>
                </c:pt>
                <c:pt idx="3">
                  <c:v>42.8</c:v>
                </c:pt>
                <c:pt idx="4">
                  <c:v>41.9</c:v>
                </c:pt>
                <c:pt idx="5">
                  <c:v>40.799999999999997</c:v>
                </c:pt>
                <c:pt idx="6">
                  <c:v>40</c:v>
                </c:pt>
                <c:pt idx="7">
                  <c:v>39</c:v>
                </c:pt>
                <c:pt idx="8">
                  <c:v>38.1</c:v>
                </c:pt>
                <c:pt idx="9">
                  <c:v>36.4</c:v>
                </c:pt>
                <c:pt idx="10">
                  <c:v>35.5</c:v>
                </c:pt>
                <c:pt idx="11">
                  <c:v>34.1</c:v>
                </c:pt>
                <c:pt idx="12">
                  <c:v>32.6</c:v>
                </c:pt>
                <c:pt idx="13">
                  <c:v>31.1</c:v>
                </c:pt>
                <c:pt idx="14">
                  <c:v>29.3</c:v>
                </c:pt>
                <c:pt idx="15">
                  <c:v>27.6</c:v>
                </c:pt>
                <c:pt idx="16">
                  <c:v>25.7</c:v>
                </c:pt>
                <c:pt idx="17">
                  <c:v>24.9</c:v>
                </c:pt>
                <c:pt idx="18">
                  <c:v>24.4</c:v>
                </c:pt>
                <c:pt idx="19">
                  <c:v>23.5</c:v>
                </c:pt>
                <c:pt idx="20">
                  <c:v>23.3</c:v>
                </c:pt>
                <c:pt idx="21">
                  <c:v>22.6</c:v>
                </c:pt>
                <c:pt idx="22">
                  <c:v>21.6</c:v>
                </c:pt>
                <c:pt idx="23">
                  <c:v>21.2</c:v>
                </c:pt>
                <c:pt idx="24">
                  <c:v>20</c:v>
                </c:pt>
                <c:pt idx="25">
                  <c:v>19.5</c:v>
                </c:pt>
                <c:pt idx="26">
                  <c:v>18.899999999999999</c:v>
                </c:pt>
                <c:pt idx="27">
                  <c:v>18.399999999999999</c:v>
                </c:pt>
                <c:pt idx="28">
                  <c:v>17.899999999999999</c:v>
                </c:pt>
                <c:pt idx="29">
                  <c:v>17.8</c:v>
                </c:pt>
              </c:numCache>
            </c:numRef>
          </c:yVal>
          <c:smooth val="1"/>
        </c:ser>
        <c:ser>
          <c:idx val="0"/>
          <c:order val="2"/>
          <c:tx>
            <c:v>Capstone</c:v>
          </c:tx>
          <c:spPr>
            <a:ln w="19050" cap="rnd">
              <a:solidFill>
                <a:schemeClr val="accent1"/>
              </a:solidFill>
              <a:prstDash val="dash"/>
              <a:round/>
            </a:ln>
            <a:effectLst/>
          </c:spPr>
          <c:marker>
            <c:symbol val="circle"/>
            <c:size val="7"/>
            <c:spPr>
              <a:solidFill>
                <a:schemeClr val="accent1"/>
              </a:solidFill>
              <a:ln w="9525">
                <a:solidFill>
                  <a:schemeClr val="accent1"/>
                </a:solidFill>
              </a:ln>
              <a:effectLst/>
            </c:spPr>
          </c:marker>
          <c:xVal>
            <c:numRef>
              <c:f>Capstone!$G$3:$G$29</c:f>
              <c:numCache>
                <c:formatCode>General</c:formatCode>
                <c:ptCount val="27"/>
                <c:pt idx="0">
                  <c:v>10.9</c:v>
                </c:pt>
                <c:pt idx="1">
                  <c:v>12.1</c:v>
                </c:pt>
                <c:pt idx="2">
                  <c:v>14.9</c:v>
                </c:pt>
                <c:pt idx="3">
                  <c:v>19.3</c:v>
                </c:pt>
                <c:pt idx="4">
                  <c:v>24.1</c:v>
                </c:pt>
                <c:pt idx="5">
                  <c:v>28.6</c:v>
                </c:pt>
                <c:pt idx="6">
                  <c:v>37.9</c:v>
                </c:pt>
                <c:pt idx="7">
                  <c:v>48.3</c:v>
                </c:pt>
                <c:pt idx="8">
                  <c:v>56.8</c:v>
                </c:pt>
                <c:pt idx="9">
                  <c:v>73.099999999999994</c:v>
                </c:pt>
                <c:pt idx="10">
                  <c:v>90.1</c:v>
                </c:pt>
                <c:pt idx="11">
                  <c:v>114</c:v>
                </c:pt>
                <c:pt idx="12">
                  <c:v>143.1</c:v>
                </c:pt>
                <c:pt idx="13">
                  <c:v>181.5</c:v>
                </c:pt>
                <c:pt idx="14">
                  <c:v>240.2</c:v>
                </c:pt>
                <c:pt idx="15">
                  <c:v>287.3</c:v>
                </c:pt>
                <c:pt idx="16">
                  <c:v>367.2</c:v>
                </c:pt>
                <c:pt idx="17">
                  <c:v>452</c:v>
                </c:pt>
                <c:pt idx="18">
                  <c:v>587.9</c:v>
                </c:pt>
                <c:pt idx="19">
                  <c:v>742.2</c:v>
                </c:pt>
                <c:pt idx="20">
                  <c:v>1004.5</c:v>
                </c:pt>
                <c:pt idx="21">
                  <c:v>1119</c:v>
                </c:pt>
                <c:pt idx="22">
                  <c:v>1415.7</c:v>
                </c:pt>
                <c:pt idx="23">
                  <c:v>1782.2</c:v>
                </c:pt>
                <c:pt idx="24">
                  <c:v>2446.5</c:v>
                </c:pt>
                <c:pt idx="25">
                  <c:v>2980.2</c:v>
                </c:pt>
              </c:numCache>
            </c:numRef>
          </c:xVal>
          <c:yVal>
            <c:numRef>
              <c:f>Capstone!$H$3:$H$29</c:f>
              <c:numCache>
                <c:formatCode>General</c:formatCode>
                <c:ptCount val="27"/>
                <c:pt idx="0">
                  <c:v>71.5</c:v>
                </c:pt>
                <c:pt idx="1">
                  <c:v>71.5</c:v>
                </c:pt>
                <c:pt idx="2">
                  <c:v>71.400000000000006</c:v>
                </c:pt>
                <c:pt idx="3">
                  <c:v>71.2</c:v>
                </c:pt>
                <c:pt idx="4">
                  <c:v>70.5</c:v>
                </c:pt>
                <c:pt idx="5">
                  <c:v>70.2</c:v>
                </c:pt>
                <c:pt idx="6">
                  <c:v>69</c:v>
                </c:pt>
                <c:pt idx="7">
                  <c:v>67.599999999999994</c:v>
                </c:pt>
                <c:pt idx="8">
                  <c:v>66.599999999999994</c:v>
                </c:pt>
                <c:pt idx="9">
                  <c:v>64.7</c:v>
                </c:pt>
                <c:pt idx="10">
                  <c:v>62.6</c:v>
                </c:pt>
                <c:pt idx="11">
                  <c:v>60.3</c:v>
                </c:pt>
                <c:pt idx="12">
                  <c:v>58</c:v>
                </c:pt>
                <c:pt idx="13">
                  <c:v>54.6</c:v>
                </c:pt>
                <c:pt idx="14">
                  <c:v>50.8</c:v>
                </c:pt>
                <c:pt idx="15">
                  <c:v>45.9</c:v>
                </c:pt>
                <c:pt idx="16">
                  <c:v>43.9</c:v>
                </c:pt>
                <c:pt idx="17">
                  <c:v>41.2</c:v>
                </c:pt>
                <c:pt idx="18">
                  <c:v>36.6</c:v>
                </c:pt>
                <c:pt idx="19">
                  <c:v>33.799999999999997</c:v>
                </c:pt>
                <c:pt idx="20">
                  <c:v>22.7</c:v>
                </c:pt>
                <c:pt idx="21">
                  <c:v>23.9</c:v>
                </c:pt>
                <c:pt idx="22">
                  <c:v>22.5</c:v>
                </c:pt>
                <c:pt idx="23">
                  <c:v>23.6</c:v>
                </c:pt>
                <c:pt idx="24">
                  <c:v>21.9</c:v>
                </c:pt>
                <c:pt idx="25">
                  <c:v>21.4</c:v>
                </c:pt>
              </c:numCache>
            </c:numRef>
          </c:yVal>
          <c:smooth val="1"/>
        </c:ser>
        <c:ser>
          <c:idx val="4"/>
          <c:order val="3"/>
          <c:tx>
            <c:v>Triton</c:v>
          </c:tx>
          <c:spPr>
            <a:ln w="19050" cap="rnd">
              <a:solidFill>
                <a:srgbClr val="C00000"/>
              </a:solidFill>
              <a:prstDash val="dash"/>
              <a:round/>
            </a:ln>
            <a:effectLst/>
          </c:spPr>
          <c:marker>
            <c:symbol val="circle"/>
            <c:size val="7"/>
            <c:spPr>
              <a:solidFill>
                <a:srgbClr val="C00000"/>
              </a:solidFill>
              <a:ln w="9525">
                <a:solidFill>
                  <a:srgbClr val="C00000"/>
                </a:solidFill>
              </a:ln>
              <a:effectLst/>
            </c:spPr>
          </c:marker>
          <c:xVal>
            <c:numRef>
              <c:f>'Triton Dynamic'!$J$1:$J$31</c:f>
              <c:numCache>
                <c:formatCode>General</c:formatCode>
                <c:ptCount val="31"/>
                <c:pt idx="0">
                  <c:v>10.6</c:v>
                </c:pt>
                <c:pt idx="1">
                  <c:v>12.6</c:v>
                </c:pt>
                <c:pt idx="2">
                  <c:v>14.8</c:v>
                </c:pt>
                <c:pt idx="3">
                  <c:v>19.2</c:v>
                </c:pt>
                <c:pt idx="4">
                  <c:v>24</c:v>
                </c:pt>
                <c:pt idx="5">
                  <c:v>29.8</c:v>
                </c:pt>
                <c:pt idx="6">
                  <c:v>36.799999999999997</c:v>
                </c:pt>
                <c:pt idx="7">
                  <c:v>45.1</c:v>
                </c:pt>
                <c:pt idx="8">
                  <c:v>58.6</c:v>
                </c:pt>
                <c:pt idx="9">
                  <c:v>71.7</c:v>
                </c:pt>
                <c:pt idx="10">
                  <c:v>91.4</c:v>
                </c:pt>
                <c:pt idx="11">
                  <c:v>114.9</c:v>
                </c:pt>
                <c:pt idx="12">
                  <c:v>144.9</c:v>
                </c:pt>
                <c:pt idx="13">
                  <c:v>184.7</c:v>
                </c:pt>
                <c:pt idx="14">
                  <c:v>225.6</c:v>
                </c:pt>
                <c:pt idx="15">
                  <c:v>284.8</c:v>
                </c:pt>
                <c:pt idx="16">
                  <c:v>358.8</c:v>
                </c:pt>
                <c:pt idx="17">
                  <c:v>448.9</c:v>
                </c:pt>
                <c:pt idx="18">
                  <c:v>573.20000000000005</c:v>
                </c:pt>
                <c:pt idx="19">
                  <c:v>709.8</c:v>
                </c:pt>
                <c:pt idx="20">
                  <c:v>926</c:v>
                </c:pt>
                <c:pt idx="21">
                  <c:v>1170.8</c:v>
                </c:pt>
                <c:pt idx="22">
                  <c:v>1559.6</c:v>
                </c:pt>
                <c:pt idx="23">
                  <c:v>1826.8</c:v>
                </c:pt>
                <c:pt idx="24">
                  <c:v>2434.4</c:v>
                </c:pt>
                <c:pt idx="25">
                  <c:v>2833.7</c:v>
                </c:pt>
                <c:pt idx="26">
                  <c:v>3521.3</c:v>
                </c:pt>
                <c:pt idx="27">
                  <c:v>4654.8999999999996</c:v>
                </c:pt>
                <c:pt idx="28">
                  <c:v>6340.3</c:v>
                </c:pt>
                <c:pt idx="29">
                  <c:v>6789.7</c:v>
                </c:pt>
                <c:pt idx="30">
                  <c:v>10716</c:v>
                </c:pt>
              </c:numCache>
            </c:numRef>
          </c:xVal>
          <c:yVal>
            <c:numRef>
              <c:f>'Triton Dynamic'!$K$1:$K$31</c:f>
              <c:numCache>
                <c:formatCode>General</c:formatCode>
                <c:ptCount val="31"/>
                <c:pt idx="0">
                  <c:v>36.700000000000003</c:v>
                </c:pt>
                <c:pt idx="1">
                  <c:v>36.299999999999997</c:v>
                </c:pt>
                <c:pt idx="2">
                  <c:v>35.9</c:v>
                </c:pt>
                <c:pt idx="3">
                  <c:v>35.4</c:v>
                </c:pt>
                <c:pt idx="4">
                  <c:v>35</c:v>
                </c:pt>
                <c:pt idx="5">
                  <c:v>34.6</c:v>
                </c:pt>
                <c:pt idx="6">
                  <c:v>34.200000000000003</c:v>
                </c:pt>
                <c:pt idx="7">
                  <c:v>34</c:v>
                </c:pt>
                <c:pt idx="8">
                  <c:v>33.6</c:v>
                </c:pt>
                <c:pt idx="9">
                  <c:v>33.299999999999997</c:v>
                </c:pt>
                <c:pt idx="10">
                  <c:v>33</c:v>
                </c:pt>
                <c:pt idx="11">
                  <c:v>32.700000000000003</c:v>
                </c:pt>
                <c:pt idx="12">
                  <c:v>32.5</c:v>
                </c:pt>
                <c:pt idx="13">
                  <c:v>32.299999999999997</c:v>
                </c:pt>
                <c:pt idx="14">
                  <c:v>32.1</c:v>
                </c:pt>
                <c:pt idx="15">
                  <c:v>32</c:v>
                </c:pt>
                <c:pt idx="16">
                  <c:v>31.8</c:v>
                </c:pt>
                <c:pt idx="17">
                  <c:v>31.7</c:v>
                </c:pt>
                <c:pt idx="18">
                  <c:v>31.6</c:v>
                </c:pt>
                <c:pt idx="19">
                  <c:v>31.5</c:v>
                </c:pt>
                <c:pt idx="20">
                  <c:v>31.4</c:v>
                </c:pt>
                <c:pt idx="21">
                  <c:v>31.3</c:v>
                </c:pt>
                <c:pt idx="22">
                  <c:v>31.2</c:v>
                </c:pt>
                <c:pt idx="23">
                  <c:v>31.2</c:v>
                </c:pt>
                <c:pt idx="24">
                  <c:v>31.1</c:v>
                </c:pt>
                <c:pt idx="25">
                  <c:v>31.1</c:v>
                </c:pt>
                <c:pt idx="26">
                  <c:v>31</c:v>
                </c:pt>
                <c:pt idx="27">
                  <c:v>31</c:v>
                </c:pt>
                <c:pt idx="28">
                  <c:v>31</c:v>
                </c:pt>
                <c:pt idx="29">
                  <c:v>30.9</c:v>
                </c:pt>
                <c:pt idx="30">
                  <c:v>30.8</c:v>
                </c:pt>
              </c:numCache>
            </c:numRef>
          </c:yVal>
          <c:smooth val="1"/>
        </c:ser>
        <c:dLbls>
          <c:showLegendKey val="0"/>
          <c:showVal val="0"/>
          <c:showCatName val="0"/>
          <c:showSerName val="0"/>
          <c:showPercent val="0"/>
          <c:showBubbleSize val="0"/>
        </c:dLbls>
        <c:axId val="220807472"/>
        <c:axId val="220805120"/>
      </c:scatterChart>
      <c:valAx>
        <c:axId val="220807472"/>
        <c:scaling>
          <c:logBase val="10"/>
          <c:orientation val="minMax"/>
          <c:max val="10000"/>
          <c:min val="10"/>
        </c:scaling>
        <c:delete val="0"/>
        <c:axPos val="b"/>
        <c:title>
          <c:tx>
            <c:rich>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1">
                    <a:solidFill>
                      <a:sysClr val="windowText" lastClr="000000"/>
                    </a:solidFill>
                  </a:rPr>
                  <a:t>Surface Age (ms)</a:t>
                </a:r>
              </a:p>
            </c:rich>
          </c:tx>
          <c:layout>
            <c:manualLayout>
              <c:xMode val="edge"/>
              <c:yMode val="edge"/>
              <c:x val="0.42954308397400737"/>
              <c:y val="0.86767908309455588"/>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20805120"/>
        <c:crosses val="autoZero"/>
        <c:crossBetween val="midCat"/>
      </c:valAx>
      <c:valAx>
        <c:axId val="220805120"/>
        <c:scaling>
          <c:orientation val="minMax"/>
          <c:min val="15"/>
        </c:scaling>
        <c:delete val="0"/>
        <c:axPos val="l"/>
        <c:title>
          <c:tx>
            <c:rich>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r>
                  <a:rPr lang="en-US" sz="1400" b="1">
                    <a:solidFill>
                      <a:sysClr val="windowText" lastClr="000000"/>
                    </a:solidFill>
                  </a:rPr>
                  <a:t>Surface</a:t>
                </a:r>
                <a:r>
                  <a:rPr lang="en-US" sz="1400" b="1" baseline="0">
                    <a:solidFill>
                      <a:sysClr val="windowText" lastClr="000000"/>
                    </a:solidFill>
                  </a:rPr>
                  <a:t> Tension (mN/m)</a:t>
                </a:r>
                <a:endParaRPr lang="en-US" sz="1400" b="1">
                  <a:solidFill>
                    <a:sysClr val="windowText" lastClr="000000"/>
                  </a:solidFill>
                </a:endParaRPr>
              </a:p>
            </c:rich>
          </c:tx>
          <c:layout>
            <c:manualLayout>
              <c:xMode val="edge"/>
              <c:yMode val="edge"/>
              <c:x val="4.5433893684688779E-3"/>
              <c:y val="9.4987735825524472E-2"/>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20807472"/>
        <c:crosses val="autoZero"/>
        <c:crossBetween val="midCat"/>
      </c:valAx>
      <c:spPr>
        <a:noFill/>
        <a:ln>
          <a:solidFill>
            <a:schemeClr val="tx1"/>
          </a:solidFill>
        </a:ln>
        <a:effectLst/>
      </c:spPr>
    </c:plotArea>
    <c:legend>
      <c:legendPos val="r"/>
      <c:layout>
        <c:manualLayout>
          <c:xMode val="edge"/>
          <c:yMode val="edge"/>
          <c:x val="0.54024672535767726"/>
          <c:y val="5.170724003339125E-2"/>
          <c:w val="0.4014057953499614"/>
          <c:h val="0.36216772330392794"/>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06777066400536"/>
          <c:y val="5.2824074074074072E-2"/>
          <c:w val="0.74494532168441352"/>
          <c:h val="0.70608048993875761"/>
        </c:manualLayout>
      </c:layout>
      <c:scatterChart>
        <c:scatterStyle val="smoothMarker"/>
        <c:varyColors val="0"/>
        <c:ser>
          <c:idx val="0"/>
          <c:order val="0"/>
          <c:tx>
            <c:v>Reference AFFF</c:v>
          </c:tx>
          <c:spPr>
            <a:ln w="19050" cap="rnd">
              <a:solidFill>
                <a:schemeClr val="accent6"/>
              </a:solidFill>
              <a:round/>
            </a:ln>
            <a:effectLst/>
          </c:spPr>
          <c:marker>
            <c:symbol val="square"/>
            <c:size val="7"/>
            <c:spPr>
              <a:solidFill>
                <a:schemeClr val="accent6"/>
              </a:solidFill>
              <a:ln w="9525">
                <a:solidFill>
                  <a:schemeClr val="accent6"/>
                </a:solidFill>
              </a:ln>
              <a:effectLst/>
            </c:spPr>
          </c:marker>
          <c:errBars>
            <c:errDir val="y"/>
            <c:errBarType val="both"/>
            <c:errValType val="cust"/>
            <c:noEndCap val="0"/>
            <c:plus>
              <c:numRef>
                <c:f>'Ref Degradation N-hept 50C'!$G$20:$G$30</c:f>
                <c:numCache>
                  <c:formatCode>General</c:formatCode>
                  <c:ptCount val="11"/>
                  <c:pt idx="0">
                    <c:v>0</c:v>
                  </c:pt>
                  <c:pt idx="1">
                    <c:v>2.4382992454708554</c:v>
                  </c:pt>
                  <c:pt idx="2">
                    <c:v>7.3148977364125711</c:v>
                  </c:pt>
                  <c:pt idx="3">
                    <c:v>2.438299245470855</c:v>
                  </c:pt>
                  <c:pt idx="4">
                    <c:v>0</c:v>
                  </c:pt>
                  <c:pt idx="5">
                    <c:v>24.382992454708464</c:v>
                  </c:pt>
                  <c:pt idx="6">
                    <c:v>4.8765984909416904</c:v>
                  </c:pt>
                  <c:pt idx="7">
                    <c:v>2.4382992454708652</c:v>
                  </c:pt>
                  <c:pt idx="8">
                    <c:v>40</c:v>
                  </c:pt>
                  <c:pt idx="9">
                    <c:v>40</c:v>
                  </c:pt>
                  <c:pt idx="10">
                    <c:v>0</c:v>
                  </c:pt>
                </c:numCache>
              </c:numRef>
            </c:plus>
            <c:minus>
              <c:numRef>
                <c:f>'Ref Degradation N-hept 50C'!$G$20:$G$30</c:f>
                <c:numCache>
                  <c:formatCode>General</c:formatCode>
                  <c:ptCount val="11"/>
                  <c:pt idx="0">
                    <c:v>0</c:v>
                  </c:pt>
                  <c:pt idx="1">
                    <c:v>2.4382992454708554</c:v>
                  </c:pt>
                  <c:pt idx="2">
                    <c:v>7.3148977364125711</c:v>
                  </c:pt>
                  <c:pt idx="3">
                    <c:v>2.438299245470855</c:v>
                  </c:pt>
                  <c:pt idx="4">
                    <c:v>0</c:v>
                  </c:pt>
                  <c:pt idx="5">
                    <c:v>24.382992454708464</c:v>
                  </c:pt>
                  <c:pt idx="6">
                    <c:v>4.8765984909416904</c:v>
                  </c:pt>
                  <c:pt idx="7">
                    <c:v>2.4382992454708652</c:v>
                  </c:pt>
                  <c:pt idx="8">
                    <c:v>40</c:v>
                  </c:pt>
                  <c:pt idx="9">
                    <c:v>40</c:v>
                  </c:pt>
                  <c:pt idx="10">
                    <c:v>0</c:v>
                  </c:pt>
                </c:numCache>
              </c:numRef>
            </c:minus>
            <c:spPr>
              <a:noFill/>
              <a:ln w="9525" cap="flat" cmpd="sng" algn="ctr">
                <a:solidFill>
                  <a:schemeClr val="tx1">
                    <a:lumMod val="65000"/>
                    <a:lumOff val="35000"/>
                  </a:schemeClr>
                </a:solidFill>
                <a:round/>
              </a:ln>
              <a:effectLst/>
            </c:spPr>
          </c:errBars>
          <c:xVal>
            <c:numRef>
              <c:f>'Ref Degradation N-hept 50C'!$A$20:$A$30</c:f>
              <c:numCache>
                <c:formatCode>General</c:formatCode>
                <c:ptCount val="11"/>
                <c:pt idx="0">
                  <c:v>0</c:v>
                </c:pt>
                <c:pt idx="1">
                  <c:v>1</c:v>
                </c:pt>
                <c:pt idx="2">
                  <c:v>2</c:v>
                </c:pt>
                <c:pt idx="3">
                  <c:v>3</c:v>
                </c:pt>
                <c:pt idx="4">
                  <c:v>4</c:v>
                </c:pt>
                <c:pt idx="5">
                  <c:v>5</c:v>
                </c:pt>
                <c:pt idx="6">
                  <c:v>10</c:v>
                </c:pt>
                <c:pt idx="7">
                  <c:v>15</c:v>
                </c:pt>
                <c:pt idx="8">
                  <c:v>20</c:v>
                </c:pt>
                <c:pt idx="9">
                  <c:v>25</c:v>
                </c:pt>
                <c:pt idx="10">
                  <c:v>30</c:v>
                </c:pt>
              </c:numCache>
            </c:numRef>
          </c:xVal>
          <c:yVal>
            <c:numRef>
              <c:f>'Ref Degradation N-hept 50C'!$F$20:$F$30</c:f>
              <c:numCache>
                <c:formatCode>General</c:formatCode>
                <c:ptCount val="11"/>
                <c:pt idx="0">
                  <c:v>0</c:v>
                </c:pt>
                <c:pt idx="1">
                  <c:v>39.655172413793103</c:v>
                </c:pt>
                <c:pt idx="2">
                  <c:v>63.793103448275858</c:v>
                </c:pt>
                <c:pt idx="3">
                  <c:v>77.586206896551715</c:v>
                </c:pt>
                <c:pt idx="4">
                  <c:v>86.206896551724128</c:v>
                </c:pt>
                <c:pt idx="5">
                  <c:v>75.862068965517238</c:v>
                </c:pt>
                <c:pt idx="6">
                  <c:v>141.37931034482759</c:v>
                </c:pt>
                <c:pt idx="7">
                  <c:v>198.27586206896552</c:v>
                </c:pt>
                <c:pt idx="8">
                  <c:v>206.89655172413794</c:v>
                </c:pt>
                <c:pt idx="9">
                  <c:v>206.89655172413794</c:v>
                </c:pt>
                <c:pt idx="10">
                  <c:v>-100</c:v>
                </c:pt>
              </c:numCache>
            </c:numRef>
          </c:yVal>
          <c:smooth val="1"/>
          <c:extLst xmlns:c16r2="http://schemas.microsoft.com/office/drawing/2015/06/chart">
            <c:ext xmlns:c16="http://schemas.microsoft.com/office/drawing/2014/chart" uri="{C3380CC4-5D6E-409C-BE32-E72D297353CC}">
              <c16:uniqueId val="{00000000-61E9-4EF2-B327-72996BC1C786}"/>
            </c:ext>
          </c:extLst>
        </c:ser>
        <c:ser>
          <c:idx val="1"/>
          <c:order val="1"/>
          <c:tx>
            <c:v>National 3%</c:v>
          </c:tx>
          <c:spPr>
            <a:ln w="19050" cap="rnd">
              <a:solidFill>
                <a:schemeClr val="tx1"/>
              </a:solidFill>
              <a:round/>
            </a:ln>
            <a:effectLst/>
          </c:spPr>
          <c:marker>
            <c:symbol val="triangle"/>
            <c:size val="7"/>
            <c:spPr>
              <a:solidFill>
                <a:schemeClr val="tx1"/>
              </a:solidFill>
              <a:ln w="9525">
                <a:solidFill>
                  <a:schemeClr val="tx1"/>
                </a:solidFill>
              </a:ln>
              <a:effectLst/>
            </c:spPr>
          </c:marker>
          <c:errBars>
            <c:errDir val="y"/>
            <c:errBarType val="both"/>
            <c:errValType val="cust"/>
            <c:noEndCap val="0"/>
            <c:plus>
              <c:numRef>
                <c:f>'[1]National Degradation 50C 25-50u'!$G$22:$G$35</c:f>
                <c:numCache>
                  <c:formatCode>General</c:formatCode>
                  <c:ptCount val="14"/>
                  <c:pt idx="0">
                    <c:v>0</c:v>
                  </c:pt>
                  <c:pt idx="1">
                    <c:v>23.171345291189954</c:v>
                  </c:pt>
                  <c:pt idx="2">
                    <c:v>15.556349186104045</c:v>
                  </c:pt>
                  <c:pt idx="3">
                    <c:v>24.476773194918948</c:v>
                  </c:pt>
                  <c:pt idx="4">
                    <c:v>16.861777089833076</c:v>
                  </c:pt>
                  <c:pt idx="5">
                    <c:v>11.966422450849265</c:v>
                  </c:pt>
                  <c:pt idx="6">
                    <c:v>28.284271247461902</c:v>
                  </c:pt>
                  <c:pt idx="7">
                    <c:v>34.267482472886591</c:v>
                  </c:pt>
                  <c:pt idx="8">
                    <c:v>20.669275142376023</c:v>
                  </c:pt>
                  <c:pt idx="9">
                    <c:v>20.669275142376023</c:v>
                  </c:pt>
                  <c:pt idx="10">
                    <c:v>34.267482472886591</c:v>
                  </c:pt>
                  <c:pt idx="11">
                    <c:v>34.267482472886591</c:v>
                  </c:pt>
                  <c:pt idx="12">
                    <c:v>0</c:v>
                  </c:pt>
                  <c:pt idx="13">
                    <c:v>0</c:v>
                  </c:pt>
                </c:numCache>
              </c:numRef>
            </c:plus>
            <c:minus>
              <c:numRef>
                <c:f>'[1]National Degradation 50C 25-50u'!$G$22:$G$35</c:f>
                <c:numCache>
                  <c:formatCode>General</c:formatCode>
                  <c:ptCount val="14"/>
                  <c:pt idx="0">
                    <c:v>0</c:v>
                  </c:pt>
                  <c:pt idx="1">
                    <c:v>23.171345291189954</c:v>
                  </c:pt>
                  <c:pt idx="2">
                    <c:v>15.556349186104045</c:v>
                  </c:pt>
                  <c:pt idx="3">
                    <c:v>24.476773194918948</c:v>
                  </c:pt>
                  <c:pt idx="4">
                    <c:v>16.861777089833076</c:v>
                  </c:pt>
                  <c:pt idx="5">
                    <c:v>11.966422450849265</c:v>
                  </c:pt>
                  <c:pt idx="6">
                    <c:v>28.284271247461902</c:v>
                  </c:pt>
                  <c:pt idx="7">
                    <c:v>34.267482472886591</c:v>
                  </c:pt>
                  <c:pt idx="8">
                    <c:v>20.669275142376023</c:v>
                  </c:pt>
                  <c:pt idx="9">
                    <c:v>20.669275142376023</c:v>
                  </c:pt>
                  <c:pt idx="10">
                    <c:v>34.267482472886591</c:v>
                  </c:pt>
                  <c:pt idx="11">
                    <c:v>34.267482472886591</c:v>
                  </c:pt>
                  <c:pt idx="12">
                    <c:v>0</c:v>
                  </c:pt>
                  <c:pt idx="13">
                    <c:v>0</c:v>
                  </c:pt>
                </c:numCache>
              </c:numRef>
            </c:minus>
            <c:spPr>
              <a:noFill/>
              <a:ln w="9525" cap="flat" cmpd="sng" algn="ctr">
                <a:solidFill>
                  <a:schemeClr val="tx1">
                    <a:lumMod val="65000"/>
                    <a:lumOff val="35000"/>
                  </a:schemeClr>
                </a:solidFill>
                <a:round/>
              </a:ln>
              <a:effectLst/>
            </c:spPr>
          </c:errBars>
          <c:xVal>
            <c:numRef>
              <c:f>'[1]National Degradation 50C 25-50u'!$A$22:$A$35</c:f>
              <c:numCache>
                <c:formatCode>General</c:formatCode>
                <c:ptCount val="14"/>
                <c:pt idx="0">
                  <c:v>0</c:v>
                </c:pt>
                <c:pt idx="1">
                  <c:v>1</c:v>
                </c:pt>
                <c:pt idx="2">
                  <c:v>2</c:v>
                </c:pt>
                <c:pt idx="3">
                  <c:v>3</c:v>
                </c:pt>
                <c:pt idx="4">
                  <c:v>4</c:v>
                </c:pt>
                <c:pt idx="5">
                  <c:v>5</c:v>
                </c:pt>
                <c:pt idx="6">
                  <c:v>10</c:v>
                </c:pt>
                <c:pt idx="7">
                  <c:v>15</c:v>
                </c:pt>
                <c:pt idx="8">
                  <c:v>20</c:v>
                </c:pt>
                <c:pt idx="9">
                  <c:v>25</c:v>
                </c:pt>
                <c:pt idx="10">
                  <c:v>30</c:v>
                </c:pt>
                <c:pt idx="11">
                  <c:v>35</c:v>
                </c:pt>
                <c:pt idx="12">
                  <c:v>40</c:v>
                </c:pt>
                <c:pt idx="13">
                  <c:v>45</c:v>
                </c:pt>
              </c:numCache>
            </c:numRef>
          </c:xVal>
          <c:yVal>
            <c:numRef>
              <c:f>'[1]National Degradation 50C 25-50u'!$F$22:$F$35</c:f>
              <c:numCache>
                <c:formatCode>General</c:formatCode>
                <c:ptCount val="14"/>
                <c:pt idx="0">
                  <c:v>0</c:v>
                </c:pt>
                <c:pt idx="1">
                  <c:v>28.091415830546264</c:v>
                </c:pt>
                <c:pt idx="2">
                  <c:v>52.260869565217398</c:v>
                </c:pt>
                <c:pt idx="3">
                  <c:v>71.070234113712374</c:v>
                </c:pt>
                <c:pt idx="4">
                  <c:v>95.239687848383497</c:v>
                </c:pt>
                <c:pt idx="5">
                  <c:v>116.67781493868451</c:v>
                </c:pt>
                <c:pt idx="6">
                  <c:v>191.59420289855075</c:v>
                </c:pt>
                <c:pt idx="7">
                  <c:v>207.90412486064659</c:v>
                </c:pt>
                <c:pt idx="8">
                  <c:v>225.90858416945375</c:v>
                </c:pt>
                <c:pt idx="9">
                  <c:v>225.90858416945375</c:v>
                </c:pt>
                <c:pt idx="10">
                  <c:v>226.74470457079153</c:v>
                </c:pt>
                <c:pt idx="11">
                  <c:v>238.33890746934227</c:v>
                </c:pt>
                <c:pt idx="12">
                  <c:v>170.21181716833894</c:v>
                </c:pt>
                <c:pt idx="13">
                  <c:v>-100</c:v>
                </c:pt>
              </c:numCache>
            </c:numRef>
          </c:yVal>
          <c:smooth val="1"/>
        </c:ser>
        <c:dLbls>
          <c:showLegendKey val="0"/>
          <c:showVal val="0"/>
          <c:showCatName val="0"/>
          <c:showSerName val="0"/>
          <c:showPercent val="0"/>
          <c:showBubbleSize val="0"/>
        </c:dLbls>
        <c:axId val="226587056"/>
        <c:axId val="226588624"/>
      </c:scatterChart>
      <c:valAx>
        <c:axId val="226587056"/>
        <c:scaling>
          <c:orientation val="minMax"/>
        </c:scaling>
        <c:delete val="0"/>
        <c:axPos val="b"/>
        <c:title>
          <c:tx>
            <c:rich>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Time (min)</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226588624"/>
        <c:crossesAt val="-100"/>
        <c:crossBetween val="midCat"/>
      </c:valAx>
      <c:valAx>
        <c:axId val="226588624"/>
        <c:scaling>
          <c:orientation val="minMax"/>
          <c:max val="300"/>
          <c:min val="-100"/>
        </c:scaling>
        <c:delete val="0"/>
        <c:axPos val="l"/>
        <c:title>
          <c:tx>
            <c:rich>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r>
                  <a:rPr lang="en-US" sz="1400" b="1">
                    <a:solidFill>
                      <a:schemeClr val="tx1"/>
                    </a:solidFill>
                  </a:rPr>
                  <a:t>Percent Change in Foam Thickness (%)</a:t>
                </a:r>
              </a:p>
            </c:rich>
          </c:tx>
          <c:layout>
            <c:manualLayout>
              <c:xMode val="edge"/>
              <c:yMode val="edge"/>
              <c:x val="1.5109990950379331E-2"/>
              <c:y val="6.335672224353045E-2"/>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solidFill>
                  <a:latin typeface="+mn-lt"/>
                  <a:ea typeface="+mn-ea"/>
                  <a:cs typeface="+mn-cs"/>
                </a:defRPr>
              </a:pPr>
              <a:endParaRPr lang="en-US"/>
            </a:p>
          </c:txPr>
        </c:title>
        <c:numFmt formatCode="General" sourceLinked="1"/>
        <c:majorTickMark val="in"/>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mn-lt"/>
                <a:ea typeface="+mn-ea"/>
                <a:cs typeface="+mn-cs"/>
              </a:defRPr>
            </a:pPr>
            <a:endParaRPr lang="en-US"/>
          </a:p>
        </c:txPr>
        <c:crossAx val="226587056"/>
        <c:crosses val="autoZero"/>
        <c:crossBetween val="midCat"/>
      </c:valAx>
      <c:spPr>
        <a:noFill/>
        <a:ln>
          <a:solidFill>
            <a:schemeClr val="tx1"/>
          </a:solidFill>
        </a:ln>
        <a:effectLst/>
      </c:spPr>
    </c:plotArea>
    <c:legend>
      <c:legendPos val="r"/>
      <c:layout>
        <c:manualLayout>
          <c:xMode val="edge"/>
          <c:yMode val="edge"/>
          <c:x val="0.27341830391501815"/>
          <c:y val="0.43257044875121275"/>
          <c:w val="0.25293132108486432"/>
          <c:h val="0.27871152469577665"/>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A54F-1712-4396-8C61-582E58DC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Papers for the 6th U.S. National Combustion Meeting</vt:lpstr>
    </vt:vector>
  </TitlesOfParts>
  <Company>Purdue University</Company>
  <LinksUpToDate>false</LinksUpToDate>
  <CharactersWithSpaces>16668</CharactersWithSpaces>
  <SharedDoc>false</SharedDoc>
  <HLinks>
    <vt:vector size="18" baseType="variant">
      <vt:variant>
        <vt:i4>19</vt:i4>
      </vt:variant>
      <vt:variant>
        <vt:i4>6</vt:i4>
      </vt:variant>
      <vt:variant>
        <vt:i4>0</vt:i4>
      </vt:variant>
      <vt:variant>
        <vt:i4>5</vt:i4>
      </vt:variant>
      <vt:variant>
        <vt:lpwstr>http://ida.lib.uidaho.edu:2868/controller/servlet/Controller?CID=quickSearchCitationFormat&amp;searchWord1=%7bOhji%2C+Hiroshi%7d&amp;section1=AU&amp;database=1&amp;yearselect=yearrange&amp;sort=yr</vt:lpwstr>
      </vt:variant>
      <vt:variant>
        <vt:lpwstr/>
      </vt:variant>
      <vt:variant>
        <vt:i4>2949157</vt:i4>
      </vt:variant>
      <vt:variant>
        <vt:i4>3</vt:i4>
      </vt:variant>
      <vt:variant>
        <vt:i4>0</vt:i4>
      </vt:variant>
      <vt:variant>
        <vt:i4>5</vt:i4>
      </vt:variant>
      <vt:variant>
        <vt:lpwstr>http://ida.lib.uidaho.edu:2868/controller/servlet/Controller?CID=quickSearchCitationFormat&amp;searchWord1=%7bYamashita%2C+Akira%7d&amp;section1=AU&amp;database=1&amp;yearselect=yearrange&amp;sort=yr</vt:lpwstr>
      </vt:variant>
      <vt:variant>
        <vt:lpwstr/>
      </vt:variant>
      <vt:variant>
        <vt:i4>917505</vt:i4>
      </vt:variant>
      <vt:variant>
        <vt:i4>0</vt:i4>
      </vt:variant>
      <vt:variant>
        <vt:i4>0</vt:i4>
      </vt:variant>
      <vt:variant>
        <vt:i4>5</vt:i4>
      </vt:variant>
      <vt:variant>
        <vt:lpwstr>http://ida.lib.uidaho.edu:2868/controller/servlet/Controller?CID=quickSearchCitationFormat&amp;searchWord1=%7bTsutsumi%2C+Kazuhiko%7d&amp;section1=AU&amp;database=1&amp;yearselect=yearrange&amp;sort=yr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Papers for the 6th U.S. National Combustion Meeting</dc:title>
  <dc:creator>J.P. Gore (updated: C.E.A. Finney 2008-11-02)</dc:creator>
  <cp:lastModifiedBy>Katherine M. Hinnant</cp:lastModifiedBy>
  <cp:revision>8</cp:revision>
  <cp:lastPrinted>2016-12-12T17:39:00Z</cp:lastPrinted>
  <dcterms:created xsi:type="dcterms:W3CDTF">2016-12-12T18:02:00Z</dcterms:created>
  <dcterms:modified xsi:type="dcterms:W3CDTF">2016-12-14T19:35:00Z</dcterms:modified>
</cp:coreProperties>
</file>